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2957E0">
      <w:pPr>
        <w:jc w:val="both"/>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附件：</w:t>
      </w:r>
    </w:p>
    <w:p w14:paraId="6BB07684">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需求征集明细表</w:t>
      </w:r>
    </w:p>
    <w:tbl>
      <w:tblPr>
        <w:tblStyle w:val="6"/>
        <w:tblW w:w="14587"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870"/>
        <w:gridCol w:w="235"/>
        <w:gridCol w:w="855"/>
        <w:gridCol w:w="6690"/>
        <w:gridCol w:w="525"/>
        <w:gridCol w:w="600"/>
        <w:gridCol w:w="825"/>
        <w:gridCol w:w="855"/>
        <w:gridCol w:w="735"/>
        <w:gridCol w:w="1050"/>
        <w:gridCol w:w="750"/>
      </w:tblGrid>
      <w:tr w14:paraId="1B0D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 w:hRule="atLeast"/>
        </w:trPr>
        <w:tc>
          <w:tcPr>
            <w:tcW w:w="14587" w:type="dxa"/>
            <w:gridSpan w:val="12"/>
            <w:tcBorders>
              <w:top w:val="single" w:color="auto" w:sz="4" w:space="0"/>
            </w:tcBorders>
            <w:vAlign w:val="center"/>
          </w:tcPr>
          <w:p w14:paraId="4337CCF9">
            <w:pPr>
              <w:jc w:val="left"/>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一、技术要求</w:t>
            </w:r>
          </w:p>
        </w:tc>
      </w:tr>
      <w:tr w14:paraId="67352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tcBorders>
              <w:top w:val="single" w:color="auto" w:sz="4" w:space="0"/>
            </w:tcBorders>
            <w:vAlign w:val="center"/>
          </w:tcPr>
          <w:p w14:paraId="776E64EB">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序号</w:t>
            </w:r>
          </w:p>
        </w:tc>
        <w:tc>
          <w:tcPr>
            <w:tcW w:w="1105" w:type="dxa"/>
            <w:gridSpan w:val="2"/>
            <w:tcBorders>
              <w:top w:val="single" w:color="auto" w:sz="4" w:space="0"/>
            </w:tcBorders>
            <w:vAlign w:val="center"/>
          </w:tcPr>
          <w:p w14:paraId="058F5584">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采购品目</w:t>
            </w:r>
          </w:p>
        </w:tc>
        <w:tc>
          <w:tcPr>
            <w:tcW w:w="855" w:type="dxa"/>
            <w:tcBorders>
              <w:top w:val="single" w:color="auto" w:sz="4" w:space="0"/>
            </w:tcBorders>
            <w:vAlign w:val="center"/>
          </w:tcPr>
          <w:p w14:paraId="1A7AFA9B">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参考</w:t>
            </w:r>
            <w:r>
              <w:rPr>
                <w:rFonts w:hint="eastAsia" w:ascii="宋体" w:hAnsi="宋体" w:eastAsia="宋体" w:cs="宋体"/>
                <w:b w:val="0"/>
                <w:bCs w:val="0"/>
                <w:color w:val="auto"/>
                <w:sz w:val="21"/>
                <w:szCs w:val="21"/>
              </w:rPr>
              <w:t>品牌</w:t>
            </w:r>
          </w:p>
        </w:tc>
        <w:tc>
          <w:tcPr>
            <w:tcW w:w="6690" w:type="dxa"/>
            <w:tcBorders>
              <w:top w:val="single" w:color="auto" w:sz="4" w:space="0"/>
            </w:tcBorders>
            <w:vAlign w:val="center"/>
          </w:tcPr>
          <w:p w14:paraId="61419852">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参数配置</w:t>
            </w:r>
          </w:p>
        </w:tc>
        <w:tc>
          <w:tcPr>
            <w:tcW w:w="525" w:type="dxa"/>
            <w:tcBorders>
              <w:top w:val="single" w:color="auto" w:sz="4" w:space="0"/>
            </w:tcBorders>
            <w:vAlign w:val="center"/>
          </w:tcPr>
          <w:p w14:paraId="0A96574E">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单位</w:t>
            </w:r>
          </w:p>
        </w:tc>
        <w:tc>
          <w:tcPr>
            <w:tcW w:w="600" w:type="dxa"/>
            <w:tcBorders>
              <w:top w:val="single" w:color="auto" w:sz="4" w:space="0"/>
            </w:tcBorders>
            <w:vAlign w:val="center"/>
          </w:tcPr>
          <w:p w14:paraId="3840CD02">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数量</w:t>
            </w:r>
          </w:p>
        </w:tc>
        <w:tc>
          <w:tcPr>
            <w:tcW w:w="825" w:type="dxa"/>
            <w:tcBorders>
              <w:top w:val="single" w:color="auto" w:sz="4" w:space="0"/>
            </w:tcBorders>
            <w:vAlign w:val="center"/>
          </w:tcPr>
          <w:p w14:paraId="7CC95516">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参考单价</w:t>
            </w:r>
          </w:p>
          <w:p w14:paraId="71951EF3">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（元）</w:t>
            </w:r>
          </w:p>
        </w:tc>
        <w:tc>
          <w:tcPr>
            <w:tcW w:w="855" w:type="dxa"/>
            <w:tcBorders>
              <w:top w:val="single" w:color="auto" w:sz="4" w:space="0"/>
            </w:tcBorders>
            <w:vAlign w:val="center"/>
          </w:tcPr>
          <w:p w14:paraId="33100293">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合计金额</w:t>
            </w:r>
          </w:p>
          <w:p w14:paraId="787EEE33">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（元）</w:t>
            </w:r>
          </w:p>
        </w:tc>
        <w:tc>
          <w:tcPr>
            <w:tcW w:w="735" w:type="dxa"/>
            <w:tcBorders>
              <w:top w:val="single" w:color="auto" w:sz="4" w:space="0"/>
            </w:tcBorders>
            <w:vAlign w:val="center"/>
          </w:tcPr>
          <w:p w14:paraId="3F6BBB02">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是否进口产品</w:t>
            </w:r>
          </w:p>
        </w:tc>
        <w:tc>
          <w:tcPr>
            <w:tcW w:w="1050" w:type="dxa"/>
            <w:tcBorders>
              <w:top w:val="single" w:color="auto" w:sz="4" w:space="0"/>
            </w:tcBorders>
            <w:vAlign w:val="center"/>
          </w:tcPr>
          <w:p w14:paraId="0DC274AC">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参考图片</w:t>
            </w:r>
          </w:p>
        </w:tc>
        <w:tc>
          <w:tcPr>
            <w:tcW w:w="750" w:type="dxa"/>
            <w:tcBorders>
              <w:top w:val="single" w:color="auto" w:sz="4" w:space="0"/>
            </w:tcBorders>
            <w:vAlign w:val="center"/>
          </w:tcPr>
          <w:p w14:paraId="4A12D204">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备注</w:t>
            </w:r>
          </w:p>
        </w:tc>
      </w:tr>
      <w:tr w14:paraId="0896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597" w:type="dxa"/>
            <w:vAlign w:val="center"/>
          </w:tcPr>
          <w:p w14:paraId="7F89BFEB">
            <w:pPr>
              <w:jc w:val="both"/>
              <w:rPr>
                <w:rFonts w:hint="eastAsia" w:ascii="宋体" w:hAnsi="宋体" w:eastAsia="宋体" w:cs="宋体"/>
                <w:b w:val="0"/>
                <w:bCs w:val="0"/>
                <w:color w:val="auto"/>
                <w:sz w:val="21"/>
                <w:szCs w:val="21"/>
                <w:u w:val="single"/>
                <w:lang w:val="en-US" w:eastAsia="zh-CN"/>
              </w:rPr>
            </w:pPr>
            <w:r>
              <w:rPr>
                <w:rFonts w:hint="eastAsia" w:ascii="宋体" w:hAnsi="宋体" w:eastAsia="宋体" w:cs="宋体"/>
                <w:b w:val="0"/>
                <w:bCs w:val="0"/>
                <w:color w:val="auto"/>
                <w:sz w:val="21"/>
                <w:szCs w:val="21"/>
                <w:u w:val="none"/>
                <w:lang w:val="en-US" w:eastAsia="zh-CN"/>
              </w:rPr>
              <w:t>1</w:t>
            </w:r>
          </w:p>
        </w:tc>
        <w:tc>
          <w:tcPr>
            <w:tcW w:w="1105" w:type="dxa"/>
            <w:gridSpan w:val="2"/>
            <w:vAlign w:val="center"/>
          </w:tcPr>
          <w:p w14:paraId="18A013D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color w:val="auto"/>
                <w:sz w:val="21"/>
                <w:szCs w:val="21"/>
                <w:lang w:val="en-US" w:eastAsia="zh-CN"/>
              </w:rPr>
            </w:pPr>
          </w:p>
          <w:p w14:paraId="1037E4E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整理桌</w:t>
            </w:r>
          </w:p>
          <w:p w14:paraId="682A437D">
            <w:pPr>
              <w:jc w:val="center"/>
              <w:rPr>
                <w:rFonts w:hint="eastAsia" w:ascii="宋体" w:hAnsi="宋体" w:eastAsia="宋体" w:cs="宋体"/>
                <w:b w:val="0"/>
                <w:bCs w:val="0"/>
                <w:color w:val="auto"/>
                <w:sz w:val="21"/>
                <w:szCs w:val="21"/>
              </w:rPr>
            </w:pPr>
          </w:p>
        </w:tc>
        <w:tc>
          <w:tcPr>
            <w:tcW w:w="855" w:type="dxa"/>
            <w:vAlign w:val="center"/>
          </w:tcPr>
          <w:p w14:paraId="0E729856">
            <w:pPr>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pacing w:val="8"/>
                <w:sz w:val="21"/>
                <w:szCs w:val="21"/>
                <w:lang w:val="en-US" w:eastAsia="zh-CN"/>
              </w:rPr>
              <w:t>阳光、美科或同等品牌</w:t>
            </w:r>
          </w:p>
        </w:tc>
        <w:tc>
          <w:tcPr>
            <w:tcW w:w="6690" w:type="dxa"/>
          </w:tcPr>
          <w:p w14:paraId="3C04412B">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1、整体外观规格：长×宽×高</w:t>
            </w:r>
            <w:r>
              <w:rPr>
                <w:rFonts w:hint="eastAsia" w:ascii="宋体" w:hAnsi="宋体" w:eastAsia="宋体" w:cs="宋体"/>
                <w:b w:val="0"/>
                <w:bCs w:val="0"/>
                <w:color w:val="auto"/>
                <w:sz w:val="21"/>
                <w:szCs w:val="21"/>
                <w:lang w:val="en-US" w:eastAsia="zh-CN"/>
              </w:rPr>
              <w:t>=20</w:t>
            </w:r>
            <w:r>
              <w:rPr>
                <w:rFonts w:hint="eastAsia" w:ascii="宋体" w:hAnsi="宋体" w:eastAsia="宋体" w:cs="宋体"/>
                <w:b w:val="0"/>
                <w:bCs w:val="0"/>
                <w:color w:val="auto"/>
                <w:sz w:val="21"/>
                <w:szCs w:val="21"/>
              </w:rPr>
              <w:t>00×1</w:t>
            </w:r>
            <w:r>
              <w:rPr>
                <w:rFonts w:hint="eastAsia" w:ascii="宋体" w:hAnsi="宋体" w:eastAsia="宋体" w:cs="宋体"/>
                <w:b w:val="0"/>
                <w:bCs w:val="0"/>
                <w:color w:val="auto"/>
                <w:sz w:val="21"/>
                <w:szCs w:val="21"/>
                <w:lang w:val="en-US" w:eastAsia="zh-CN"/>
              </w:rPr>
              <w:t>0</w:t>
            </w:r>
            <w:r>
              <w:rPr>
                <w:rFonts w:hint="eastAsia" w:ascii="宋体" w:hAnsi="宋体" w:eastAsia="宋体" w:cs="宋体"/>
                <w:b w:val="0"/>
                <w:bCs w:val="0"/>
                <w:color w:val="auto"/>
                <w:sz w:val="21"/>
                <w:szCs w:val="21"/>
              </w:rPr>
              <w:t>00×750mm，桌面采用实木橡胶木板材，桌面厚度≥40mm。桌脚框架采用优质实木橡胶木，框架厚度≥40mm。桌面底下加固挡板厚度≥20mm、高度≥300mm。</w:t>
            </w:r>
          </w:p>
          <w:p w14:paraId="22C684DD">
            <w:pPr>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2、油漆：采用环保油漆，经五底三面工艺，漆面平整无颗粒、气泡、积粉、渣点，色泽均匀，表面色泽剔透，具有较好的耐磨性、耐高温性能、附着力强。油漆必须注明品牌（含PU透明底漆和面漆）。</w:t>
            </w:r>
          </w:p>
          <w:p w14:paraId="02D0AB22">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z w:val="21"/>
                <w:szCs w:val="21"/>
              </w:rPr>
              <w:t>3、五金件：铰链等配件选用优质五金配件，连接处均紧密拼接，金属件表面无锈蚀、毛刺刃口、露底，光滑平整，无起泡、泛黄、花斑、烤焦、裂纹、划痕、磕碰等缺陷。</w:t>
            </w:r>
          </w:p>
        </w:tc>
        <w:tc>
          <w:tcPr>
            <w:tcW w:w="525" w:type="dxa"/>
            <w:vAlign w:val="center"/>
          </w:tcPr>
          <w:p w14:paraId="4C3BE23F">
            <w:pPr>
              <w:jc w:val="center"/>
              <w:rPr>
                <w:rFonts w:hint="eastAsia" w:ascii="宋体" w:hAnsi="宋体" w:eastAsia="宋体" w:cs="宋体"/>
                <w:b w:val="0"/>
                <w:bCs w:val="0"/>
                <w:color w:val="auto"/>
                <w:sz w:val="21"/>
                <w:szCs w:val="21"/>
                <w:u w:val="single"/>
              </w:rPr>
            </w:pPr>
            <w:r>
              <w:rPr>
                <w:rFonts w:hint="eastAsia" w:ascii="宋体" w:hAnsi="宋体" w:eastAsia="宋体" w:cs="宋体"/>
                <w:b w:val="0"/>
                <w:bCs w:val="0"/>
                <w:color w:val="auto"/>
                <w:sz w:val="21"/>
                <w:szCs w:val="21"/>
              </w:rPr>
              <w:t>张</w:t>
            </w:r>
          </w:p>
        </w:tc>
        <w:tc>
          <w:tcPr>
            <w:tcW w:w="600" w:type="dxa"/>
            <w:vAlign w:val="center"/>
          </w:tcPr>
          <w:p w14:paraId="22E90880">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10</w:t>
            </w:r>
          </w:p>
        </w:tc>
        <w:tc>
          <w:tcPr>
            <w:tcW w:w="825" w:type="dxa"/>
            <w:vAlign w:val="center"/>
          </w:tcPr>
          <w:p w14:paraId="71BC2AA1">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1300</w:t>
            </w:r>
          </w:p>
        </w:tc>
        <w:tc>
          <w:tcPr>
            <w:tcW w:w="855" w:type="dxa"/>
            <w:vAlign w:val="center"/>
          </w:tcPr>
          <w:p w14:paraId="66CC53F3">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13000</w:t>
            </w:r>
          </w:p>
        </w:tc>
        <w:tc>
          <w:tcPr>
            <w:tcW w:w="735" w:type="dxa"/>
            <w:vAlign w:val="center"/>
          </w:tcPr>
          <w:p w14:paraId="116AE2CF">
            <w:pPr>
              <w:jc w:val="center"/>
              <w:rPr>
                <w:rFonts w:hint="eastAsia" w:ascii="宋体" w:hAnsi="宋体" w:eastAsia="宋体" w:cs="宋体"/>
                <w:b w:val="0"/>
                <w:bCs w:val="0"/>
                <w:color w:val="auto"/>
                <w:sz w:val="21"/>
                <w:szCs w:val="21"/>
                <w:u w:val="single"/>
                <w:lang w:val="en-US" w:eastAsia="zh-CN"/>
              </w:rPr>
            </w:pPr>
            <w:r>
              <w:rPr>
                <w:rFonts w:hint="eastAsia" w:ascii="宋体" w:hAnsi="宋体" w:eastAsia="宋体" w:cs="宋体"/>
                <w:b w:val="0"/>
                <w:bCs w:val="0"/>
                <w:color w:val="auto"/>
                <w:sz w:val="21"/>
                <w:szCs w:val="21"/>
                <w:u w:val="none"/>
                <w:lang w:val="en-US" w:eastAsia="zh-CN"/>
              </w:rPr>
              <w:t>否</w:t>
            </w:r>
          </w:p>
        </w:tc>
        <w:tc>
          <w:tcPr>
            <w:tcW w:w="1050" w:type="dxa"/>
            <w:vAlign w:val="center"/>
          </w:tcPr>
          <w:p w14:paraId="3C989683">
            <w:pPr>
              <w:jc w:val="center"/>
              <w:rPr>
                <w:rFonts w:hint="eastAsia" w:ascii="宋体" w:hAnsi="宋体" w:eastAsia="宋体" w:cs="宋体"/>
                <w:b w:val="0"/>
                <w:bCs w:val="0"/>
                <w:color w:val="auto"/>
                <w:sz w:val="21"/>
                <w:szCs w:val="21"/>
                <w:u w:val="single"/>
              </w:rPr>
            </w:pPr>
          </w:p>
          <w:p w14:paraId="210E6CE7">
            <w:pPr>
              <w:jc w:val="center"/>
              <w:rPr>
                <w:rFonts w:hint="eastAsia" w:ascii="宋体" w:hAnsi="宋体" w:eastAsia="宋体" w:cs="宋体"/>
                <w:b w:val="0"/>
                <w:bCs w:val="0"/>
                <w:color w:val="auto"/>
                <w:sz w:val="21"/>
                <w:szCs w:val="21"/>
                <w:u w:val="single"/>
              </w:rPr>
            </w:pPr>
          </w:p>
          <w:p w14:paraId="72AE7C7B">
            <w:pPr>
              <w:jc w:val="center"/>
              <w:rPr>
                <w:rFonts w:hint="eastAsia" w:ascii="宋体" w:hAnsi="宋体" w:eastAsia="宋体" w:cs="宋体"/>
                <w:b w:val="0"/>
                <w:bCs w:val="0"/>
                <w:color w:val="auto"/>
                <w:sz w:val="21"/>
                <w:szCs w:val="21"/>
                <w:u w:val="single"/>
              </w:rPr>
            </w:pPr>
            <w:r>
              <w:rPr>
                <w:rFonts w:hint="eastAsia" w:ascii="宋体" w:hAnsi="宋体" w:eastAsia="宋体" w:cs="宋体"/>
                <w:b w:val="0"/>
                <w:bCs w:val="0"/>
                <w:color w:val="auto"/>
                <w:sz w:val="21"/>
                <w:szCs w:val="21"/>
                <w:lang w:val="en-US" w:eastAsia="zh-CN"/>
              </w:rPr>
              <w:drawing>
                <wp:inline distT="0" distB="0" distL="114300" distR="114300">
                  <wp:extent cx="435610" cy="320040"/>
                  <wp:effectExtent l="0" t="0" r="2540" b="3810"/>
                  <wp:docPr id="14" name="图片 14" descr="9251188d561ab482e06828fe8b59b1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9251188d561ab482e06828fe8b59b18b"/>
                          <pic:cNvPicPr>
                            <a:picLocks noChangeAspect="1"/>
                          </pic:cNvPicPr>
                        </pic:nvPicPr>
                        <pic:blipFill>
                          <a:blip r:embed="rId4"/>
                          <a:stretch>
                            <a:fillRect/>
                          </a:stretch>
                        </pic:blipFill>
                        <pic:spPr>
                          <a:xfrm>
                            <a:off x="0" y="0"/>
                            <a:ext cx="435610" cy="320040"/>
                          </a:xfrm>
                          <a:prstGeom prst="rect">
                            <a:avLst/>
                          </a:prstGeom>
                        </pic:spPr>
                      </pic:pic>
                    </a:graphicData>
                  </a:graphic>
                </wp:inline>
              </w:drawing>
            </w:r>
          </w:p>
          <w:p w14:paraId="3A267378">
            <w:pPr>
              <w:jc w:val="center"/>
              <w:rPr>
                <w:rFonts w:hint="eastAsia" w:ascii="宋体" w:hAnsi="宋体" w:eastAsia="宋体" w:cs="宋体"/>
                <w:b w:val="0"/>
                <w:bCs w:val="0"/>
                <w:color w:val="auto"/>
                <w:sz w:val="21"/>
                <w:szCs w:val="21"/>
                <w:u w:val="single"/>
              </w:rPr>
            </w:pPr>
          </w:p>
          <w:p w14:paraId="1CB7E09D">
            <w:pPr>
              <w:jc w:val="center"/>
              <w:rPr>
                <w:rFonts w:hint="eastAsia" w:ascii="宋体" w:hAnsi="宋体" w:eastAsia="宋体" w:cs="宋体"/>
                <w:b w:val="0"/>
                <w:bCs w:val="0"/>
                <w:color w:val="auto"/>
                <w:sz w:val="21"/>
                <w:szCs w:val="21"/>
                <w:u w:val="single"/>
              </w:rPr>
            </w:pPr>
          </w:p>
        </w:tc>
        <w:tc>
          <w:tcPr>
            <w:tcW w:w="750" w:type="dxa"/>
            <w:vAlign w:val="center"/>
          </w:tcPr>
          <w:p w14:paraId="68C17360">
            <w:pPr>
              <w:jc w:val="center"/>
              <w:rPr>
                <w:rFonts w:hint="eastAsia" w:ascii="宋体" w:hAnsi="宋体" w:eastAsia="宋体" w:cs="宋体"/>
                <w:b w:val="0"/>
                <w:bCs w:val="0"/>
                <w:color w:val="auto"/>
                <w:sz w:val="21"/>
                <w:szCs w:val="21"/>
                <w:u w:val="single"/>
              </w:rPr>
            </w:pPr>
          </w:p>
        </w:tc>
      </w:tr>
      <w:tr w14:paraId="7494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14:paraId="4F7DFCAE">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w:t>
            </w:r>
          </w:p>
        </w:tc>
        <w:tc>
          <w:tcPr>
            <w:tcW w:w="1105" w:type="dxa"/>
            <w:gridSpan w:val="2"/>
            <w:vAlign w:val="center"/>
          </w:tcPr>
          <w:p w14:paraId="27A1FF33">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阅览椅</w:t>
            </w:r>
          </w:p>
        </w:tc>
        <w:tc>
          <w:tcPr>
            <w:tcW w:w="855" w:type="dxa"/>
            <w:vAlign w:val="center"/>
          </w:tcPr>
          <w:p w14:paraId="2EB68726">
            <w:pPr>
              <w:rPr>
                <w:rFonts w:hint="eastAsia" w:ascii="宋体" w:hAnsi="宋体" w:eastAsia="宋体" w:cs="宋体"/>
                <w:b w:val="0"/>
                <w:bCs w:val="0"/>
                <w:color w:val="auto"/>
                <w:spacing w:val="8"/>
                <w:sz w:val="21"/>
                <w:szCs w:val="21"/>
                <w:lang w:val="en-US" w:eastAsia="zh-CN"/>
              </w:rPr>
            </w:pPr>
            <w:r>
              <w:rPr>
                <w:rFonts w:hint="eastAsia" w:ascii="宋体" w:hAnsi="宋体" w:eastAsia="宋体" w:cs="宋体"/>
                <w:b w:val="0"/>
                <w:bCs w:val="0"/>
                <w:color w:val="auto"/>
                <w:spacing w:val="8"/>
                <w:sz w:val="21"/>
                <w:szCs w:val="21"/>
                <w:lang w:val="en-US" w:eastAsia="zh-CN"/>
              </w:rPr>
              <w:t>阳光、美科或同等品牌</w:t>
            </w:r>
          </w:p>
        </w:tc>
        <w:tc>
          <w:tcPr>
            <w:tcW w:w="6690" w:type="dxa"/>
          </w:tcPr>
          <w:p w14:paraId="0D52B31B">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1.阅览椅规格(mm)：W560*D530*H880mm；</w:t>
            </w:r>
          </w:p>
          <w:p w14:paraId="5C9A2795">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2.面料：采用绒布面料，防磨防污性好；面料的性能符合GB/T 19817-2005《纺织品 装饰用织物》的要求，面料的断裂强力≥300N；撕破强力≥25N；耐磨性≥6000转；染色牢度C类“耐水(变色、沾色)≥3级”、“耐酸汗渍(变色、沾色)≥3级”、“耐碱汗渍(变色、沾色)≥3级”、“耐干摩擦≥3级”。面料中的有害物质含量须符合GB 18401-2010《国家纺织产品基本安全技术规范》的要求。</w:t>
            </w:r>
          </w:p>
          <w:p w14:paraId="23EBFCC1">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3.辅料：采用优质海绵，海绵密度≥30kg/m³，海绵的技术性能符合GB/T 10802-2023《通用软质聚氨酯泡沫塑料》的要求,海绵表观密度偏差在±2.5kg/m³之间。</w:t>
            </w:r>
          </w:p>
          <w:p w14:paraId="1F7583B1">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4.内板：采用胶合板，板材的甲醛释放量须满足GB 18580-2017《室内装饰装修材料 人造板及其制品中甲醛释放限量》的要求，按GB/T 39600-2021《人造板及其制品甲醛释放量分级》达到E0级；板材的挥发性有机化合物含量符合GB/T 35601-2017《绿色产品评价人造板和木质地板》的要求。</w:t>
            </w:r>
          </w:p>
          <w:p w14:paraId="09681D8B">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5.椅架：采用优质橡胶木实木，木材经高温干燥、除虫、防虫、防腐处理，具有很好的尺寸稳定性,含水率低于15%，五氯苯酚含量小于5mg/kg。</w:t>
            </w:r>
          </w:p>
          <w:p w14:paraId="7377164F">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6.油漆：采用环保型PU聚酯漆，底漆和面漆中的有害物质限量均符合GB 18581-2020《木器涂料中有害物质限量》的要求。。</w:t>
            </w:r>
          </w:p>
          <w:p w14:paraId="09B3BE93">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7.胶粘剂：采用环保型胶粘剂(白乳胶)。胶粘剂(白乳胶)中的有害物质限量须符合GB 18583-2008《室内装饰装修材料 胶粘剂中有害物质限量》的要求。游离甲醛≤1.0g/kg；苯≤0.20g/kg；甲苯+二甲苯≤10g/kg；总挥发性有机物≤110g/L。</w:t>
            </w:r>
          </w:p>
        </w:tc>
        <w:tc>
          <w:tcPr>
            <w:tcW w:w="525" w:type="dxa"/>
            <w:shd w:val="clear" w:color="auto" w:fill="auto"/>
            <w:vAlign w:val="center"/>
          </w:tcPr>
          <w:p w14:paraId="2511651A">
            <w:pPr>
              <w:jc w:val="center"/>
              <w:rPr>
                <w:rFonts w:hint="eastAsia" w:ascii="宋体" w:hAnsi="宋体" w:eastAsia="宋体" w:cs="宋体"/>
                <w:b w:val="0"/>
                <w:bCs w:val="0"/>
                <w:color w:val="auto"/>
                <w:kern w:val="2"/>
                <w:sz w:val="21"/>
                <w:szCs w:val="21"/>
                <w:u w:val="single"/>
                <w:lang w:val="en-US" w:eastAsia="zh-CN" w:bidi="ar-SA"/>
              </w:rPr>
            </w:pPr>
            <w:r>
              <w:rPr>
                <w:rFonts w:hint="eastAsia" w:ascii="宋体" w:hAnsi="宋体" w:eastAsia="宋体" w:cs="宋体"/>
                <w:b w:val="0"/>
                <w:bCs w:val="0"/>
                <w:color w:val="auto"/>
                <w:sz w:val="21"/>
                <w:szCs w:val="21"/>
              </w:rPr>
              <w:t>张</w:t>
            </w:r>
          </w:p>
        </w:tc>
        <w:tc>
          <w:tcPr>
            <w:tcW w:w="600" w:type="dxa"/>
            <w:shd w:val="clear" w:color="auto" w:fill="auto"/>
            <w:vAlign w:val="center"/>
          </w:tcPr>
          <w:p w14:paraId="020F61E4">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20</w:t>
            </w:r>
          </w:p>
        </w:tc>
        <w:tc>
          <w:tcPr>
            <w:tcW w:w="825" w:type="dxa"/>
            <w:shd w:val="clear" w:color="auto" w:fill="auto"/>
            <w:vAlign w:val="center"/>
          </w:tcPr>
          <w:p w14:paraId="73B1D72D">
            <w:pPr>
              <w:jc w:val="center"/>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350</w:t>
            </w:r>
          </w:p>
        </w:tc>
        <w:tc>
          <w:tcPr>
            <w:tcW w:w="855" w:type="dxa"/>
            <w:shd w:val="clear" w:color="auto" w:fill="auto"/>
            <w:vAlign w:val="center"/>
          </w:tcPr>
          <w:p w14:paraId="7F29EED8">
            <w:pPr>
              <w:jc w:val="center"/>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7000</w:t>
            </w:r>
          </w:p>
        </w:tc>
        <w:tc>
          <w:tcPr>
            <w:tcW w:w="735" w:type="dxa"/>
            <w:shd w:val="clear" w:color="auto" w:fill="auto"/>
            <w:vAlign w:val="center"/>
          </w:tcPr>
          <w:p w14:paraId="227E2C9B">
            <w:pPr>
              <w:jc w:val="center"/>
              <w:rPr>
                <w:rFonts w:hint="eastAsia" w:ascii="宋体" w:hAnsi="宋体" w:eastAsia="宋体" w:cs="宋体"/>
                <w:b w:val="0"/>
                <w:bCs w:val="0"/>
                <w:color w:val="auto"/>
                <w:kern w:val="2"/>
                <w:sz w:val="21"/>
                <w:szCs w:val="21"/>
                <w:u w:val="single"/>
                <w:lang w:val="en-US" w:eastAsia="zh-CN" w:bidi="ar-SA"/>
              </w:rPr>
            </w:pPr>
            <w:r>
              <w:rPr>
                <w:rFonts w:hint="eastAsia" w:ascii="宋体" w:hAnsi="宋体" w:eastAsia="宋体" w:cs="宋体"/>
                <w:b w:val="0"/>
                <w:bCs w:val="0"/>
                <w:color w:val="auto"/>
                <w:sz w:val="21"/>
                <w:szCs w:val="21"/>
                <w:u w:val="none"/>
                <w:lang w:val="en-US" w:eastAsia="zh-CN"/>
              </w:rPr>
              <w:t>否</w:t>
            </w:r>
          </w:p>
        </w:tc>
        <w:tc>
          <w:tcPr>
            <w:tcW w:w="1050" w:type="dxa"/>
            <w:vAlign w:val="center"/>
          </w:tcPr>
          <w:p w14:paraId="75085D99">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drawing>
                <wp:inline distT="0" distB="0" distL="114300" distR="114300">
                  <wp:extent cx="435610" cy="320040"/>
                  <wp:effectExtent l="0" t="0" r="2540" b="3810"/>
                  <wp:docPr id="4" name="图片 4" descr="9251188d561ab482e06828fe8b59b1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251188d561ab482e06828fe8b59b18b"/>
                          <pic:cNvPicPr>
                            <a:picLocks noChangeAspect="1"/>
                          </pic:cNvPicPr>
                        </pic:nvPicPr>
                        <pic:blipFill>
                          <a:blip r:embed="rId4"/>
                          <a:stretch>
                            <a:fillRect/>
                          </a:stretch>
                        </pic:blipFill>
                        <pic:spPr>
                          <a:xfrm>
                            <a:off x="0" y="0"/>
                            <a:ext cx="435610" cy="320040"/>
                          </a:xfrm>
                          <a:prstGeom prst="rect">
                            <a:avLst/>
                          </a:prstGeom>
                        </pic:spPr>
                      </pic:pic>
                    </a:graphicData>
                  </a:graphic>
                </wp:inline>
              </w:drawing>
            </w:r>
          </w:p>
        </w:tc>
        <w:tc>
          <w:tcPr>
            <w:tcW w:w="750" w:type="dxa"/>
            <w:vAlign w:val="center"/>
          </w:tcPr>
          <w:p w14:paraId="4F1BF3ED">
            <w:pPr>
              <w:jc w:val="center"/>
              <w:rPr>
                <w:rFonts w:hint="eastAsia" w:ascii="宋体" w:hAnsi="宋体" w:eastAsia="宋体" w:cs="宋体"/>
                <w:b w:val="0"/>
                <w:bCs w:val="0"/>
                <w:color w:val="auto"/>
                <w:sz w:val="21"/>
                <w:szCs w:val="21"/>
                <w:u w:val="single"/>
              </w:rPr>
            </w:pPr>
          </w:p>
        </w:tc>
      </w:tr>
      <w:tr w14:paraId="7A245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14:paraId="7F5FDC06">
            <w:pPr>
              <w:jc w:val="center"/>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3</w:t>
            </w:r>
          </w:p>
        </w:tc>
        <w:tc>
          <w:tcPr>
            <w:tcW w:w="1105" w:type="dxa"/>
            <w:gridSpan w:val="2"/>
            <w:vAlign w:val="center"/>
          </w:tcPr>
          <w:p w14:paraId="08F1480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color w:val="auto"/>
                <w:sz w:val="21"/>
                <w:szCs w:val="21"/>
                <w:lang w:val="en-US" w:eastAsia="zh-CN"/>
              </w:rPr>
            </w:pPr>
          </w:p>
          <w:p w14:paraId="75EA71C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会议桌</w:t>
            </w:r>
          </w:p>
          <w:p w14:paraId="6B58F4C8">
            <w:pPr>
              <w:jc w:val="center"/>
              <w:rPr>
                <w:rFonts w:hint="eastAsia" w:ascii="宋体" w:hAnsi="宋体" w:eastAsia="宋体" w:cs="宋体"/>
                <w:b w:val="0"/>
                <w:bCs w:val="0"/>
                <w:color w:val="auto"/>
                <w:sz w:val="21"/>
                <w:szCs w:val="21"/>
              </w:rPr>
            </w:pPr>
          </w:p>
        </w:tc>
        <w:tc>
          <w:tcPr>
            <w:tcW w:w="855" w:type="dxa"/>
            <w:vAlign w:val="center"/>
          </w:tcPr>
          <w:p w14:paraId="048E7A9A">
            <w:pPr>
              <w:rPr>
                <w:rFonts w:hint="default" w:ascii="宋体" w:hAnsi="宋体" w:eastAsia="宋体" w:cs="宋体"/>
                <w:b w:val="0"/>
                <w:bCs w:val="0"/>
                <w:color w:val="auto"/>
                <w:sz w:val="21"/>
                <w:szCs w:val="21"/>
                <w:lang w:val="en-US"/>
              </w:rPr>
            </w:pPr>
            <w:r>
              <w:rPr>
                <w:rFonts w:hint="eastAsia" w:ascii="宋体" w:hAnsi="宋体" w:eastAsia="宋体" w:cs="宋体"/>
                <w:b w:val="0"/>
                <w:bCs w:val="0"/>
                <w:color w:val="auto"/>
                <w:spacing w:val="8"/>
                <w:sz w:val="21"/>
                <w:szCs w:val="21"/>
                <w:lang w:val="en-US" w:eastAsia="zh-CN"/>
              </w:rPr>
              <w:t>昆仑、金盾、贯凯或同等品牌</w:t>
            </w:r>
          </w:p>
        </w:tc>
        <w:tc>
          <w:tcPr>
            <w:tcW w:w="6690" w:type="dxa"/>
          </w:tcPr>
          <w:p w14:paraId="4335E63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整体外观规格：长×宽×高</w:t>
            </w:r>
            <w:r>
              <w:rPr>
                <w:rFonts w:hint="eastAsia" w:ascii="宋体" w:hAnsi="宋体" w:eastAsia="宋体" w:cs="宋体"/>
                <w:b w:val="0"/>
                <w:bCs w:val="0"/>
                <w:color w:val="auto"/>
                <w:sz w:val="21"/>
                <w:szCs w:val="21"/>
                <w:lang w:val="en-US" w:eastAsia="zh-CN"/>
              </w:rPr>
              <w:t>=3800*1600*750mm</w:t>
            </w:r>
          </w:p>
          <w:p w14:paraId="1A7766DE">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2.基材：桌面采用25mm厚度优质E1级多层实木板，强度高、刚性好、不易变形、比重合理，所有板材均经防虫防腐化学处理，表面握钉力及静曲强度均达到国际标准；</w:t>
            </w:r>
          </w:p>
          <w:p w14:paraId="03327EB7">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3.饰面：表面饰面为浸渍胶膜纸饰面，要求双面饰面颜色为同一颜色的饰面，热压贴合，表面无鼓泡、污斑、起皱、脱胶等现象；</w:t>
            </w:r>
          </w:p>
          <w:p w14:paraId="3715D699">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4.封边：桌面厚度不小于1.5mm PVC近色封边条，其他厚度不小于1.2mm PVC近色封边条；</w:t>
            </w:r>
          </w:p>
          <w:p w14:paraId="5DBCB193">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5.五金配件：采用优质导轨、三合一连接件等五金配件；</w:t>
            </w:r>
          </w:p>
          <w:p w14:paraId="73DCFD83">
            <w:pPr>
              <w:widowControl/>
              <w:numPr>
                <w:ilvl w:val="0"/>
                <w:numId w:val="0"/>
              </w:numPr>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6.热熔胶：采用优质品牌热熔胶。</w:t>
            </w:r>
            <w:r>
              <w:rPr>
                <w:rFonts w:hint="eastAsia" w:ascii="宋体" w:hAnsi="宋体" w:eastAsia="宋体" w:cs="宋体"/>
                <w:b w:val="0"/>
                <w:bCs w:val="0"/>
                <w:color w:val="auto"/>
                <w:sz w:val="21"/>
                <w:szCs w:val="21"/>
                <w:lang w:val="en-US" w:eastAsia="zh-CN"/>
              </w:rPr>
              <w:br w:type="textWrapping"/>
            </w:r>
            <w:r>
              <w:rPr>
                <w:rFonts w:hint="eastAsia" w:ascii="宋体" w:hAnsi="宋体" w:eastAsia="宋体" w:cs="宋体"/>
                <w:b w:val="0"/>
                <w:bCs w:val="0"/>
                <w:color w:val="auto"/>
                <w:sz w:val="21"/>
                <w:szCs w:val="21"/>
                <w:lang w:val="en-US" w:eastAsia="zh-CN"/>
              </w:rPr>
              <w:t>7.钢制桌架采用1.0mm厚度，冲压，折弯，焊接，装配而成冲压成型厚度为1.2mm钢制脚架。所有焊点都打磨光滑，在接触人体或收藏物品的部位无毛刺、刃口、棱角。涂料为热固性粉末喷塑， 耐磨，经过除锈，防腐处理。表面平整光滑不起泡。</w:t>
            </w:r>
          </w:p>
          <w:p w14:paraId="51D9D75C">
            <w:pPr>
              <w:widowControl/>
              <w:numPr>
                <w:ilvl w:val="0"/>
                <w:numId w:val="0"/>
              </w:numPr>
              <w:spacing w:line="276" w:lineRule="auto"/>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pacing w:val="8"/>
                <w:sz w:val="21"/>
                <w:szCs w:val="21"/>
                <w:lang w:val="en-US" w:eastAsia="zh-CN"/>
              </w:rPr>
              <w:t>桌子中间有插座，或配滑轨插座，方便链接线路使用。</w:t>
            </w:r>
          </w:p>
        </w:tc>
        <w:tc>
          <w:tcPr>
            <w:tcW w:w="525" w:type="dxa"/>
            <w:vAlign w:val="center"/>
          </w:tcPr>
          <w:p w14:paraId="1BDF2D6E">
            <w:pPr>
              <w:jc w:val="center"/>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eastAsia="zh-CN"/>
              </w:rPr>
              <w:t>张</w:t>
            </w:r>
          </w:p>
        </w:tc>
        <w:tc>
          <w:tcPr>
            <w:tcW w:w="600" w:type="dxa"/>
            <w:vAlign w:val="center"/>
          </w:tcPr>
          <w:p w14:paraId="03E1D72E">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p>
        </w:tc>
        <w:tc>
          <w:tcPr>
            <w:tcW w:w="825" w:type="dxa"/>
            <w:vAlign w:val="center"/>
          </w:tcPr>
          <w:p w14:paraId="7150DDA0">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6000</w:t>
            </w:r>
          </w:p>
        </w:tc>
        <w:tc>
          <w:tcPr>
            <w:tcW w:w="855" w:type="dxa"/>
            <w:vAlign w:val="center"/>
          </w:tcPr>
          <w:p w14:paraId="3C28F890">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6000</w:t>
            </w:r>
          </w:p>
        </w:tc>
        <w:tc>
          <w:tcPr>
            <w:tcW w:w="735" w:type="dxa"/>
            <w:vAlign w:val="center"/>
          </w:tcPr>
          <w:p w14:paraId="7E4A9C3C">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否</w:t>
            </w:r>
          </w:p>
        </w:tc>
        <w:tc>
          <w:tcPr>
            <w:tcW w:w="1050" w:type="dxa"/>
            <w:vAlign w:val="center"/>
          </w:tcPr>
          <w:p w14:paraId="0AC72143">
            <w:pPr>
              <w:jc w:val="center"/>
              <w:rPr>
                <w:rFonts w:hint="eastAsia" w:ascii="宋体" w:hAnsi="宋体" w:eastAsia="宋体" w:cs="宋体"/>
                <w:b w:val="0"/>
                <w:bCs w:val="0"/>
                <w:color w:val="auto"/>
                <w:sz w:val="21"/>
                <w:szCs w:val="21"/>
                <w:u w:val="single"/>
              </w:rPr>
            </w:pPr>
            <w:r>
              <w:rPr>
                <w:rFonts w:hint="eastAsia" w:ascii="宋体" w:hAnsi="宋体" w:eastAsia="宋体" w:cs="宋体"/>
                <w:b w:val="0"/>
                <w:bCs w:val="0"/>
                <w:color w:val="auto"/>
                <w:sz w:val="21"/>
                <w:szCs w:val="21"/>
              </w:rPr>
              <w:drawing>
                <wp:inline distT="0" distB="0" distL="114300" distR="114300">
                  <wp:extent cx="501015" cy="502285"/>
                  <wp:effectExtent l="0" t="0" r="13335" b="12065"/>
                  <wp:docPr id="5" name="图片 4" descr="会议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会议桌"/>
                          <pic:cNvPicPr>
                            <a:picLocks noChangeAspect="1"/>
                          </pic:cNvPicPr>
                        </pic:nvPicPr>
                        <pic:blipFill>
                          <a:blip r:embed="rId5"/>
                          <a:stretch>
                            <a:fillRect/>
                          </a:stretch>
                        </pic:blipFill>
                        <pic:spPr>
                          <a:xfrm>
                            <a:off x="0" y="0"/>
                            <a:ext cx="501015" cy="502285"/>
                          </a:xfrm>
                          <a:prstGeom prst="rect">
                            <a:avLst/>
                          </a:prstGeom>
                        </pic:spPr>
                      </pic:pic>
                    </a:graphicData>
                  </a:graphic>
                </wp:inline>
              </w:drawing>
            </w:r>
            <w:r>
              <w:rPr>
                <w:rFonts w:hint="eastAsia" w:ascii="宋体" w:hAnsi="宋体" w:eastAsia="宋体" w:cs="宋体"/>
                <w:b w:val="0"/>
                <w:bCs w:val="0"/>
                <w:color w:val="auto"/>
                <w:sz w:val="21"/>
                <w:szCs w:val="21"/>
                <w:lang w:val="en-US" w:eastAsia="zh-CN"/>
              </w:rPr>
              <w:drawing>
                <wp:inline distT="0" distB="0" distL="114300" distR="114300">
                  <wp:extent cx="403225" cy="539115"/>
                  <wp:effectExtent l="0" t="0" r="15875" b="13335"/>
                  <wp:docPr id="15" name="图片 15" descr="7573b4a40658689da02e7cbd649ae7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573b4a40658689da02e7cbd649ae7b4"/>
                          <pic:cNvPicPr>
                            <a:picLocks noChangeAspect="1"/>
                          </pic:cNvPicPr>
                        </pic:nvPicPr>
                        <pic:blipFill>
                          <a:blip r:embed="rId6"/>
                          <a:stretch>
                            <a:fillRect/>
                          </a:stretch>
                        </pic:blipFill>
                        <pic:spPr>
                          <a:xfrm>
                            <a:off x="0" y="0"/>
                            <a:ext cx="403225" cy="539115"/>
                          </a:xfrm>
                          <a:prstGeom prst="rect">
                            <a:avLst/>
                          </a:prstGeom>
                        </pic:spPr>
                      </pic:pic>
                    </a:graphicData>
                  </a:graphic>
                </wp:inline>
              </w:drawing>
            </w:r>
          </w:p>
        </w:tc>
        <w:tc>
          <w:tcPr>
            <w:tcW w:w="750" w:type="dxa"/>
            <w:vAlign w:val="center"/>
          </w:tcPr>
          <w:p w14:paraId="06F716D0">
            <w:pPr>
              <w:jc w:val="center"/>
              <w:rPr>
                <w:rFonts w:hint="eastAsia" w:ascii="宋体" w:hAnsi="宋体" w:eastAsia="宋体" w:cs="宋体"/>
                <w:b w:val="0"/>
                <w:bCs w:val="0"/>
                <w:color w:val="auto"/>
                <w:sz w:val="21"/>
                <w:szCs w:val="21"/>
                <w:u w:val="single"/>
              </w:rPr>
            </w:pPr>
          </w:p>
        </w:tc>
      </w:tr>
      <w:tr w14:paraId="74A9D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14:paraId="11C0E419">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w:t>
            </w:r>
          </w:p>
        </w:tc>
        <w:tc>
          <w:tcPr>
            <w:tcW w:w="1105" w:type="dxa"/>
            <w:gridSpan w:val="2"/>
            <w:vAlign w:val="center"/>
          </w:tcPr>
          <w:p w14:paraId="087FFBC6">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会议椅</w:t>
            </w:r>
          </w:p>
        </w:tc>
        <w:tc>
          <w:tcPr>
            <w:tcW w:w="855" w:type="dxa"/>
            <w:vAlign w:val="center"/>
          </w:tcPr>
          <w:p w14:paraId="76353B67">
            <w:pPr>
              <w:rPr>
                <w:rFonts w:hint="eastAsia" w:ascii="宋体" w:hAnsi="宋体" w:eastAsia="宋体" w:cs="宋体"/>
                <w:b w:val="0"/>
                <w:bCs w:val="0"/>
                <w:color w:val="auto"/>
                <w:spacing w:val="8"/>
                <w:sz w:val="21"/>
                <w:szCs w:val="21"/>
                <w:lang w:val="en-US" w:eastAsia="zh-CN"/>
              </w:rPr>
            </w:pPr>
            <w:r>
              <w:rPr>
                <w:rFonts w:hint="eastAsia" w:ascii="宋体" w:hAnsi="宋体" w:eastAsia="宋体" w:cs="宋体"/>
                <w:b w:val="0"/>
                <w:bCs w:val="0"/>
                <w:color w:val="auto"/>
                <w:spacing w:val="8"/>
                <w:sz w:val="21"/>
                <w:szCs w:val="21"/>
                <w:lang w:val="en-US" w:eastAsia="zh-CN"/>
              </w:rPr>
              <w:t>昆仑、金盾、贯凯或同等品牌</w:t>
            </w:r>
          </w:p>
        </w:tc>
        <w:tc>
          <w:tcPr>
            <w:tcW w:w="6690" w:type="dxa"/>
          </w:tcPr>
          <w:p w14:paraId="1C1389B6">
            <w:pPr>
              <w:widowControl/>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1、椅子规格(mm)：W520*D440*H780</w:t>
            </w:r>
          </w:p>
          <w:p w14:paraId="13394153">
            <w:pPr>
              <w:widowControl/>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2、材质：橡胶木实木A字形，优质环保型PU 聚酯漆；</w:t>
            </w:r>
          </w:p>
          <w:p w14:paraId="5C76433A">
            <w:pPr>
              <w:widowControl/>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3、采用优质胶粘剂；</w:t>
            </w:r>
          </w:p>
          <w:p w14:paraId="73845F64">
            <w:pPr>
              <w:widowControl/>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4、坐垫采用优质布艺，软包件及缝纫外型饱满、圆滑一致，缝纫线迹均匀、嵌线圆滑挺直，耐久性；</w:t>
            </w:r>
          </w:p>
          <w:p w14:paraId="3A1FCD2F">
            <w:pPr>
              <w:widowControl/>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5、颜色：原木色/待选；</w:t>
            </w:r>
          </w:p>
          <w:p w14:paraId="212657A9">
            <w:pPr>
              <w:widowControl/>
              <w:spacing w:line="276" w:lineRule="auto"/>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6、面板厚度≥18mm，前脚为35*25mm，后脚为50*25mm，靠背厚度≥15mm。</w:t>
            </w:r>
          </w:p>
        </w:tc>
        <w:tc>
          <w:tcPr>
            <w:tcW w:w="525" w:type="dxa"/>
            <w:shd w:val="clear" w:color="auto" w:fill="auto"/>
            <w:vAlign w:val="center"/>
          </w:tcPr>
          <w:p w14:paraId="340379CA">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eastAsia="zh-CN"/>
              </w:rPr>
              <w:t>张</w:t>
            </w:r>
          </w:p>
        </w:tc>
        <w:tc>
          <w:tcPr>
            <w:tcW w:w="600" w:type="dxa"/>
            <w:shd w:val="clear" w:color="auto" w:fill="auto"/>
            <w:vAlign w:val="center"/>
          </w:tcPr>
          <w:p w14:paraId="063569B1">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12</w:t>
            </w:r>
          </w:p>
        </w:tc>
        <w:tc>
          <w:tcPr>
            <w:tcW w:w="825" w:type="dxa"/>
            <w:shd w:val="clear" w:color="auto" w:fill="auto"/>
            <w:vAlign w:val="center"/>
          </w:tcPr>
          <w:p w14:paraId="474C2194">
            <w:pPr>
              <w:jc w:val="center"/>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400</w:t>
            </w:r>
          </w:p>
        </w:tc>
        <w:tc>
          <w:tcPr>
            <w:tcW w:w="855" w:type="dxa"/>
            <w:shd w:val="clear" w:color="auto" w:fill="auto"/>
            <w:vAlign w:val="center"/>
          </w:tcPr>
          <w:p w14:paraId="07406304">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4800</w:t>
            </w:r>
          </w:p>
        </w:tc>
        <w:tc>
          <w:tcPr>
            <w:tcW w:w="735" w:type="dxa"/>
            <w:shd w:val="clear" w:color="auto" w:fill="auto"/>
            <w:vAlign w:val="center"/>
          </w:tcPr>
          <w:p w14:paraId="7D3C0444">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否</w:t>
            </w:r>
          </w:p>
        </w:tc>
        <w:tc>
          <w:tcPr>
            <w:tcW w:w="1050" w:type="dxa"/>
            <w:vAlign w:val="center"/>
          </w:tcPr>
          <w:p w14:paraId="45D59BA4">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drawing>
                <wp:inline distT="0" distB="0" distL="114300" distR="114300">
                  <wp:extent cx="528320" cy="713740"/>
                  <wp:effectExtent l="0" t="0" r="5080" b="10160"/>
                  <wp:docPr id="2" name="图片 2" descr="fa4584e12f209ec464ac50bb21761e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a4584e12f209ec464ac50bb21761e4f"/>
                          <pic:cNvPicPr>
                            <a:picLocks noChangeAspect="1"/>
                          </pic:cNvPicPr>
                        </pic:nvPicPr>
                        <pic:blipFill>
                          <a:blip r:embed="rId7"/>
                          <a:stretch>
                            <a:fillRect/>
                          </a:stretch>
                        </pic:blipFill>
                        <pic:spPr>
                          <a:xfrm>
                            <a:off x="0" y="0"/>
                            <a:ext cx="528320" cy="713740"/>
                          </a:xfrm>
                          <a:prstGeom prst="rect">
                            <a:avLst/>
                          </a:prstGeom>
                        </pic:spPr>
                      </pic:pic>
                    </a:graphicData>
                  </a:graphic>
                </wp:inline>
              </w:drawing>
            </w:r>
          </w:p>
        </w:tc>
        <w:tc>
          <w:tcPr>
            <w:tcW w:w="750" w:type="dxa"/>
            <w:vAlign w:val="center"/>
          </w:tcPr>
          <w:p w14:paraId="02DCCC37">
            <w:pPr>
              <w:jc w:val="center"/>
              <w:rPr>
                <w:rFonts w:hint="eastAsia" w:ascii="宋体" w:hAnsi="宋体" w:eastAsia="宋体" w:cs="宋体"/>
                <w:b w:val="0"/>
                <w:bCs w:val="0"/>
                <w:color w:val="auto"/>
                <w:sz w:val="21"/>
                <w:szCs w:val="21"/>
                <w:u w:val="single"/>
              </w:rPr>
            </w:pPr>
          </w:p>
        </w:tc>
      </w:tr>
      <w:tr w14:paraId="510B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14:paraId="66940091">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w:t>
            </w:r>
          </w:p>
        </w:tc>
        <w:tc>
          <w:tcPr>
            <w:tcW w:w="1105" w:type="dxa"/>
            <w:gridSpan w:val="2"/>
            <w:vAlign w:val="center"/>
          </w:tcPr>
          <w:p w14:paraId="08238EDC">
            <w:pPr>
              <w:jc w:val="center"/>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lang w:val="en-US" w:eastAsia="zh-CN"/>
              </w:rPr>
              <w:t>档案柜</w:t>
            </w:r>
          </w:p>
        </w:tc>
        <w:tc>
          <w:tcPr>
            <w:tcW w:w="855" w:type="dxa"/>
            <w:vAlign w:val="center"/>
          </w:tcPr>
          <w:p w14:paraId="43ED88DD">
            <w:pPr>
              <w:rPr>
                <w:rFonts w:hint="default" w:ascii="宋体" w:hAnsi="宋体" w:eastAsia="宋体" w:cs="宋体"/>
                <w:b w:val="0"/>
                <w:bCs w:val="0"/>
                <w:color w:val="auto"/>
                <w:sz w:val="21"/>
                <w:szCs w:val="21"/>
                <w:lang w:val="en-US"/>
              </w:rPr>
            </w:pPr>
            <w:r>
              <w:rPr>
                <w:rFonts w:hint="eastAsia" w:ascii="宋体" w:hAnsi="宋体" w:eastAsia="宋体" w:cs="宋体"/>
                <w:b w:val="0"/>
                <w:bCs w:val="0"/>
                <w:color w:val="auto"/>
                <w:spacing w:val="8"/>
                <w:sz w:val="21"/>
                <w:szCs w:val="21"/>
                <w:lang w:val="en-US" w:eastAsia="zh-CN"/>
              </w:rPr>
              <w:t>阳光、美科或同等品牌</w:t>
            </w:r>
          </w:p>
        </w:tc>
        <w:tc>
          <w:tcPr>
            <w:tcW w:w="6690" w:type="dxa"/>
          </w:tcPr>
          <w:p w14:paraId="0D6EFD0F">
            <w:pPr>
              <w:pStyle w:val="4"/>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整体尺寸：</w:t>
            </w:r>
            <w:r>
              <w:rPr>
                <w:rFonts w:hint="eastAsia" w:ascii="宋体" w:hAnsi="宋体" w:eastAsia="宋体" w:cs="宋体"/>
                <w:b w:val="0"/>
                <w:bCs w:val="0"/>
                <w:color w:val="auto"/>
                <w:sz w:val="21"/>
                <w:szCs w:val="21"/>
                <w:lang w:val="en-US" w:eastAsia="zh-CN"/>
              </w:rPr>
              <w:t>18</w:t>
            </w:r>
            <w:r>
              <w:rPr>
                <w:rFonts w:hint="eastAsia" w:eastAsia="宋体" w:cs="宋体"/>
                <w:b w:val="0"/>
                <w:bCs w:val="0"/>
                <w:color w:val="auto"/>
                <w:sz w:val="21"/>
                <w:szCs w:val="21"/>
                <w:lang w:val="en-US" w:eastAsia="zh-CN"/>
              </w:rPr>
              <w:t>0</w:t>
            </w:r>
            <w:r>
              <w:rPr>
                <w:rFonts w:hint="eastAsia" w:ascii="宋体" w:hAnsi="宋体" w:eastAsia="宋体" w:cs="宋体"/>
                <w:b w:val="0"/>
                <w:bCs w:val="0"/>
                <w:color w:val="auto"/>
                <w:sz w:val="21"/>
                <w:szCs w:val="21"/>
                <w:lang w:val="en-US" w:eastAsia="zh-CN"/>
              </w:rPr>
              <w:t>0*850*390mm，五层。</w:t>
            </w:r>
          </w:p>
          <w:p w14:paraId="24074288">
            <w:pPr>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2.材质：</w:t>
            </w:r>
            <w:r>
              <w:rPr>
                <w:rFonts w:hint="eastAsia" w:ascii="宋体" w:hAnsi="宋体" w:eastAsia="宋体" w:cs="宋体"/>
                <w:b w:val="0"/>
                <w:bCs w:val="0"/>
                <w:color w:val="auto"/>
                <w:sz w:val="21"/>
                <w:szCs w:val="21"/>
              </w:rPr>
              <w:t>采用</w:t>
            </w:r>
            <w:r>
              <w:rPr>
                <w:rFonts w:hint="eastAsia" w:ascii="宋体" w:hAnsi="宋体" w:eastAsia="宋体" w:cs="宋体"/>
                <w:b w:val="0"/>
                <w:bCs w:val="0"/>
                <w:color w:val="auto"/>
                <w:sz w:val="21"/>
                <w:szCs w:val="21"/>
                <w:lang w:val="en-US" w:eastAsia="zh-CN"/>
              </w:rPr>
              <w:t>0.6</w:t>
            </w:r>
            <w:r>
              <w:rPr>
                <w:rFonts w:hint="eastAsia" w:ascii="宋体" w:hAnsi="宋体" w:eastAsia="宋体" w:cs="宋体"/>
                <w:b w:val="0"/>
                <w:bCs w:val="0"/>
                <w:color w:val="auto"/>
                <w:sz w:val="21"/>
                <w:szCs w:val="21"/>
              </w:rPr>
              <w:t>mm</w:t>
            </w:r>
            <w:r>
              <w:rPr>
                <w:rFonts w:hint="eastAsia" w:ascii="宋体" w:hAnsi="宋体" w:eastAsia="宋体" w:cs="宋体"/>
                <w:b w:val="0"/>
                <w:bCs w:val="0"/>
                <w:color w:val="auto"/>
                <w:sz w:val="21"/>
                <w:szCs w:val="21"/>
                <w:lang w:val="en-US" w:eastAsia="zh-CN"/>
              </w:rPr>
              <w:t>厚</w:t>
            </w:r>
            <w:r>
              <w:rPr>
                <w:rFonts w:hint="eastAsia" w:ascii="宋体" w:hAnsi="宋体" w:eastAsia="宋体" w:cs="宋体"/>
                <w:b w:val="0"/>
                <w:bCs w:val="0"/>
                <w:color w:val="auto"/>
                <w:sz w:val="21"/>
                <w:szCs w:val="21"/>
              </w:rPr>
              <w:t>优质冷轧钢板经剪切，冲压，折弯，焊接，装配而成。表面经防锈处理后静电粉末喷塑，锁具安全可靠，不易仿配。经久耐用，不易变形。</w:t>
            </w:r>
          </w:p>
          <w:p w14:paraId="56749F94">
            <w:pPr>
              <w:numPr>
                <w:ilvl w:val="0"/>
                <w:numId w:val="0"/>
              </w:num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表面处理：表面经过脱脂→酸洗→表调→磷化→水洗→烘干→静电喷塑→烘干等九工位处理，无锈迹，不变色，不起皱，不失光泽，成品表面光滑、光亮、无有害气体产生，无味不脱落。</w:t>
            </w:r>
          </w:p>
          <w:p w14:paraId="5BFD25B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配件：优质国标铝合金及一级电镀配件，优质锁具。</w:t>
            </w:r>
          </w:p>
          <w:p w14:paraId="2ADA433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highlight w:val="none"/>
              </w:rPr>
              <w:t>5</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颜色：灰白</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表面涂层：喷涂后涂层表面应色泽均匀一致，工件的各部位不应有起粒、皱皮、露底、剥落、伤痕或漏喷等现象</w:t>
            </w:r>
            <w:r>
              <w:rPr>
                <w:rFonts w:hint="eastAsia" w:ascii="宋体" w:hAnsi="宋体" w:eastAsia="宋体" w:cs="宋体"/>
                <w:b w:val="0"/>
                <w:bCs w:val="0"/>
                <w:color w:val="auto"/>
                <w:sz w:val="21"/>
                <w:szCs w:val="21"/>
                <w:highlight w:val="none"/>
                <w:lang w:eastAsia="zh-CN"/>
              </w:rPr>
              <w:t>。</w:t>
            </w:r>
          </w:p>
        </w:tc>
        <w:tc>
          <w:tcPr>
            <w:tcW w:w="525" w:type="dxa"/>
            <w:vAlign w:val="center"/>
          </w:tcPr>
          <w:p w14:paraId="1C6A4CB1">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组</w:t>
            </w:r>
          </w:p>
        </w:tc>
        <w:tc>
          <w:tcPr>
            <w:tcW w:w="600" w:type="dxa"/>
            <w:vAlign w:val="center"/>
          </w:tcPr>
          <w:p w14:paraId="1180FAE8">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36</w:t>
            </w:r>
          </w:p>
        </w:tc>
        <w:tc>
          <w:tcPr>
            <w:tcW w:w="825" w:type="dxa"/>
            <w:vAlign w:val="center"/>
          </w:tcPr>
          <w:p w14:paraId="65D8E4A4">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800</w:t>
            </w:r>
          </w:p>
        </w:tc>
        <w:tc>
          <w:tcPr>
            <w:tcW w:w="855" w:type="dxa"/>
            <w:vAlign w:val="center"/>
          </w:tcPr>
          <w:p w14:paraId="41B0C8B5">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28800</w:t>
            </w:r>
          </w:p>
        </w:tc>
        <w:tc>
          <w:tcPr>
            <w:tcW w:w="735" w:type="dxa"/>
            <w:vAlign w:val="center"/>
          </w:tcPr>
          <w:p w14:paraId="1FB0B75A">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否</w:t>
            </w:r>
          </w:p>
        </w:tc>
        <w:tc>
          <w:tcPr>
            <w:tcW w:w="1050" w:type="dxa"/>
            <w:vAlign w:val="center"/>
          </w:tcPr>
          <w:p w14:paraId="6E442177">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drawing>
                <wp:inline distT="0" distB="0" distL="114300" distR="114300">
                  <wp:extent cx="459740" cy="632460"/>
                  <wp:effectExtent l="0" t="0" r="16510" b="15240"/>
                  <wp:docPr id="16" name="图片 16" descr="b220a7fc0c8c4c8dad22d617e46301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b220a7fc0c8c4c8dad22d617e463013f"/>
                          <pic:cNvPicPr>
                            <a:picLocks noChangeAspect="1"/>
                          </pic:cNvPicPr>
                        </pic:nvPicPr>
                        <pic:blipFill>
                          <a:blip r:embed="rId8"/>
                          <a:stretch>
                            <a:fillRect/>
                          </a:stretch>
                        </pic:blipFill>
                        <pic:spPr>
                          <a:xfrm>
                            <a:off x="0" y="0"/>
                            <a:ext cx="459740" cy="632460"/>
                          </a:xfrm>
                          <a:prstGeom prst="rect">
                            <a:avLst/>
                          </a:prstGeom>
                        </pic:spPr>
                      </pic:pic>
                    </a:graphicData>
                  </a:graphic>
                </wp:inline>
              </w:drawing>
            </w:r>
          </w:p>
        </w:tc>
        <w:tc>
          <w:tcPr>
            <w:tcW w:w="750" w:type="dxa"/>
            <w:vAlign w:val="center"/>
          </w:tcPr>
          <w:p w14:paraId="5646EFFA">
            <w:pPr>
              <w:jc w:val="center"/>
              <w:rPr>
                <w:rFonts w:hint="eastAsia" w:ascii="宋体" w:hAnsi="宋体" w:eastAsia="宋体" w:cs="宋体"/>
                <w:b w:val="0"/>
                <w:bCs w:val="0"/>
                <w:color w:val="auto"/>
                <w:sz w:val="21"/>
                <w:szCs w:val="21"/>
                <w:u w:val="single"/>
              </w:rPr>
            </w:pPr>
          </w:p>
        </w:tc>
      </w:tr>
      <w:tr w14:paraId="2730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14:paraId="03A80588">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w:t>
            </w:r>
          </w:p>
        </w:tc>
        <w:tc>
          <w:tcPr>
            <w:tcW w:w="1105" w:type="dxa"/>
            <w:gridSpan w:val="2"/>
            <w:vAlign w:val="center"/>
          </w:tcPr>
          <w:p w14:paraId="360D825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color w:val="auto"/>
                <w:sz w:val="21"/>
                <w:szCs w:val="21"/>
                <w:lang w:val="en-US" w:eastAsia="zh-CN"/>
              </w:rPr>
            </w:pPr>
          </w:p>
          <w:p w14:paraId="3F8CA43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val="0"/>
                <w:color w:val="auto"/>
                <w:sz w:val="21"/>
                <w:szCs w:val="21"/>
                <w:lang w:val="en-US" w:eastAsia="zh-CN"/>
              </w:rPr>
            </w:pPr>
          </w:p>
          <w:p w14:paraId="316CC332">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通体五节柜</w:t>
            </w:r>
          </w:p>
        </w:tc>
        <w:tc>
          <w:tcPr>
            <w:tcW w:w="855" w:type="dxa"/>
            <w:vAlign w:val="center"/>
          </w:tcPr>
          <w:p w14:paraId="09341635">
            <w:pPr>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8"/>
                <w:sz w:val="21"/>
                <w:szCs w:val="21"/>
                <w:lang w:val="en-US" w:eastAsia="zh-CN"/>
              </w:rPr>
              <w:t>阳光、美科或同等品牌</w:t>
            </w:r>
          </w:p>
        </w:tc>
        <w:tc>
          <w:tcPr>
            <w:tcW w:w="6690" w:type="dxa"/>
          </w:tcPr>
          <w:p w14:paraId="62B161A2">
            <w:pPr>
              <w:pStyle w:val="4"/>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整体尺寸：</w:t>
            </w:r>
            <w:r>
              <w:rPr>
                <w:rFonts w:hint="eastAsia" w:ascii="宋体" w:hAnsi="宋体" w:eastAsia="宋体" w:cs="宋体"/>
                <w:b w:val="0"/>
                <w:bCs w:val="0"/>
                <w:color w:val="auto"/>
                <w:sz w:val="21"/>
                <w:szCs w:val="21"/>
                <w:lang w:val="en-US" w:eastAsia="zh-CN"/>
              </w:rPr>
              <w:t>18</w:t>
            </w:r>
            <w:r>
              <w:rPr>
                <w:rFonts w:hint="eastAsia" w:eastAsia="宋体" w:cs="宋体"/>
                <w:b w:val="0"/>
                <w:bCs w:val="0"/>
                <w:color w:val="auto"/>
                <w:sz w:val="21"/>
                <w:szCs w:val="21"/>
                <w:lang w:val="en-US" w:eastAsia="zh-CN"/>
              </w:rPr>
              <w:t>0</w:t>
            </w:r>
            <w:r>
              <w:rPr>
                <w:rFonts w:hint="eastAsia" w:ascii="宋体" w:hAnsi="宋体" w:eastAsia="宋体" w:cs="宋体"/>
                <w:b w:val="0"/>
                <w:bCs w:val="0"/>
                <w:color w:val="auto"/>
                <w:sz w:val="21"/>
                <w:szCs w:val="21"/>
                <w:lang w:val="en-US" w:eastAsia="zh-CN"/>
              </w:rPr>
              <w:t>0*850*390mm。</w:t>
            </w:r>
          </w:p>
          <w:p w14:paraId="1090B8AD">
            <w:pPr>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2.材质：</w:t>
            </w:r>
            <w:r>
              <w:rPr>
                <w:rFonts w:hint="eastAsia" w:ascii="宋体" w:hAnsi="宋体" w:eastAsia="宋体" w:cs="宋体"/>
                <w:b w:val="0"/>
                <w:bCs w:val="0"/>
                <w:color w:val="auto"/>
                <w:sz w:val="21"/>
                <w:szCs w:val="21"/>
              </w:rPr>
              <w:t>采用</w:t>
            </w:r>
            <w:r>
              <w:rPr>
                <w:rFonts w:hint="eastAsia" w:ascii="宋体" w:hAnsi="宋体" w:eastAsia="宋体" w:cs="宋体"/>
                <w:b w:val="0"/>
                <w:bCs w:val="0"/>
                <w:color w:val="auto"/>
                <w:sz w:val="21"/>
                <w:szCs w:val="21"/>
                <w:lang w:val="en-US" w:eastAsia="zh-CN"/>
              </w:rPr>
              <w:t>0.6</w:t>
            </w:r>
            <w:r>
              <w:rPr>
                <w:rFonts w:hint="eastAsia" w:ascii="宋体" w:hAnsi="宋体" w:eastAsia="宋体" w:cs="宋体"/>
                <w:b w:val="0"/>
                <w:bCs w:val="0"/>
                <w:color w:val="auto"/>
                <w:sz w:val="21"/>
                <w:szCs w:val="21"/>
              </w:rPr>
              <w:t>mm</w:t>
            </w:r>
            <w:r>
              <w:rPr>
                <w:rFonts w:hint="eastAsia" w:ascii="宋体" w:hAnsi="宋体" w:eastAsia="宋体" w:cs="宋体"/>
                <w:b w:val="0"/>
                <w:bCs w:val="0"/>
                <w:color w:val="auto"/>
                <w:sz w:val="21"/>
                <w:szCs w:val="21"/>
                <w:lang w:val="en-US" w:eastAsia="zh-CN"/>
              </w:rPr>
              <w:t>厚</w:t>
            </w:r>
            <w:r>
              <w:rPr>
                <w:rFonts w:hint="eastAsia" w:ascii="宋体" w:hAnsi="宋体" w:eastAsia="宋体" w:cs="宋体"/>
                <w:b w:val="0"/>
                <w:bCs w:val="0"/>
                <w:color w:val="auto"/>
                <w:sz w:val="21"/>
                <w:szCs w:val="21"/>
              </w:rPr>
              <w:t>优质冷轧钢板经剪切，冲压，折弯，焊接，装配而成。表面经防锈处理后静电粉末喷塑，锁具安全可靠，不易仿配。经久耐用，不易变形。</w:t>
            </w:r>
          </w:p>
          <w:p w14:paraId="52F4E9C3">
            <w:pPr>
              <w:numPr>
                <w:ilvl w:val="0"/>
                <w:numId w:val="0"/>
              </w:num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表面处理：表面经过脱脂→酸洗→表调→磷化→水洗→烘干→静电喷塑→烘干等九工位处理，无锈迹，不变色，不起皱，不失光泽，成品表面光滑、光亮、无有害气体产生，无味不脱落。</w:t>
            </w:r>
          </w:p>
          <w:p w14:paraId="2616A13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配件：优质国标铝合金及一级电镀配件，优质锁具。</w:t>
            </w:r>
          </w:p>
          <w:p w14:paraId="118569C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highlight w:val="none"/>
              </w:rPr>
              <w:t>5</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颜色：灰白</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表面涂层：喷涂后涂层表面应色泽均匀一致，工件的各部位不应有起粒、皱皮、露底、剥落、伤痕或漏喷等现象</w:t>
            </w:r>
            <w:r>
              <w:rPr>
                <w:rFonts w:hint="eastAsia" w:ascii="宋体" w:hAnsi="宋体" w:eastAsia="宋体" w:cs="宋体"/>
                <w:b w:val="0"/>
                <w:bCs w:val="0"/>
                <w:color w:val="auto"/>
                <w:sz w:val="21"/>
                <w:szCs w:val="21"/>
                <w:highlight w:val="none"/>
                <w:lang w:eastAsia="zh-CN"/>
              </w:rPr>
              <w:t>。</w:t>
            </w:r>
          </w:p>
        </w:tc>
        <w:tc>
          <w:tcPr>
            <w:tcW w:w="525" w:type="dxa"/>
            <w:vAlign w:val="center"/>
          </w:tcPr>
          <w:p w14:paraId="6F9C536E">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组</w:t>
            </w:r>
          </w:p>
        </w:tc>
        <w:tc>
          <w:tcPr>
            <w:tcW w:w="600" w:type="dxa"/>
            <w:vAlign w:val="center"/>
          </w:tcPr>
          <w:p w14:paraId="75112F91">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30</w:t>
            </w:r>
          </w:p>
        </w:tc>
        <w:tc>
          <w:tcPr>
            <w:tcW w:w="825" w:type="dxa"/>
            <w:vAlign w:val="center"/>
          </w:tcPr>
          <w:p w14:paraId="1AC17DC2">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800</w:t>
            </w:r>
          </w:p>
        </w:tc>
        <w:tc>
          <w:tcPr>
            <w:tcW w:w="855" w:type="dxa"/>
            <w:vAlign w:val="center"/>
          </w:tcPr>
          <w:p w14:paraId="0B3F8DA5">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24000</w:t>
            </w:r>
          </w:p>
        </w:tc>
        <w:tc>
          <w:tcPr>
            <w:tcW w:w="735" w:type="dxa"/>
            <w:vAlign w:val="center"/>
          </w:tcPr>
          <w:p w14:paraId="4DC85699">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否</w:t>
            </w:r>
          </w:p>
        </w:tc>
        <w:tc>
          <w:tcPr>
            <w:tcW w:w="1050" w:type="dxa"/>
            <w:vAlign w:val="center"/>
          </w:tcPr>
          <w:p w14:paraId="365EFB57">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drawing>
                <wp:inline distT="0" distB="0" distL="114300" distR="114300">
                  <wp:extent cx="472440" cy="779780"/>
                  <wp:effectExtent l="0" t="0" r="3810" b="1270"/>
                  <wp:docPr id="17" name="图片 17" descr="c5010d2e0e911c477a866c7645838b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5010d2e0e911c477a866c7645838bb1"/>
                          <pic:cNvPicPr>
                            <a:picLocks noChangeAspect="1"/>
                          </pic:cNvPicPr>
                        </pic:nvPicPr>
                        <pic:blipFill>
                          <a:blip r:embed="rId9"/>
                          <a:srcRect l="8082" t="4950" r="11339" b="4249"/>
                          <a:stretch>
                            <a:fillRect/>
                          </a:stretch>
                        </pic:blipFill>
                        <pic:spPr>
                          <a:xfrm>
                            <a:off x="0" y="0"/>
                            <a:ext cx="472440" cy="779780"/>
                          </a:xfrm>
                          <a:prstGeom prst="rect">
                            <a:avLst/>
                          </a:prstGeom>
                        </pic:spPr>
                      </pic:pic>
                    </a:graphicData>
                  </a:graphic>
                </wp:inline>
              </w:drawing>
            </w:r>
          </w:p>
        </w:tc>
        <w:tc>
          <w:tcPr>
            <w:tcW w:w="750" w:type="dxa"/>
            <w:vAlign w:val="center"/>
          </w:tcPr>
          <w:p w14:paraId="14B20479">
            <w:pPr>
              <w:jc w:val="center"/>
              <w:rPr>
                <w:rFonts w:hint="eastAsia" w:ascii="宋体" w:hAnsi="宋体" w:eastAsia="宋体" w:cs="宋体"/>
                <w:b w:val="0"/>
                <w:bCs w:val="0"/>
                <w:color w:val="auto"/>
                <w:sz w:val="21"/>
                <w:szCs w:val="21"/>
                <w:u w:val="single"/>
              </w:rPr>
            </w:pPr>
          </w:p>
        </w:tc>
      </w:tr>
      <w:tr w14:paraId="7799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14:paraId="5C0DC0A9">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w:t>
            </w:r>
          </w:p>
        </w:tc>
        <w:tc>
          <w:tcPr>
            <w:tcW w:w="1105" w:type="dxa"/>
            <w:gridSpan w:val="2"/>
            <w:vAlign w:val="center"/>
          </w:tcPr>
          <w:p w14:paraId="40520E30">
            <w:pPr>
              <w:jc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通体四节柜</w:t>
            </w:r>
          </w:p>
        </w:tc>
        <w:tc>
          <w:tcPr>
            <w:tcW w:w="855" w:type="dxa"/>
            <w:vAlign w:val="center"/>
          </w:tcPr>
          <w:p w14:paraId="13090940">
            <w:pPr>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8"/>
                <w:sz w:val="21"/>
                <w:szCs w:val="21"/>
                <w:lang w:val="en-US" w:eastAsia="zh-CN"/>
              </w:rPr>
              <w:t>阳光、美科或同等品牌</w:t>
            </w:r>
          </w:p>
        </w:tc>
        <w:tc>
          <w:tcPr>
            <w:tcW w:w="6690" w:type="dxa"/>
          </w:tcPr>
          <w:p w14:paraId="6F3ED9C1">
            <w:pPr>
              <w:pStyle w:val="4"/>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整体尺寸：</w:t>
            </w:r>
            <w:r>
              <w:rPr>
                <w:rFonts w:hint="eastAsia" w:ascii="宋体" w:hAnsi="宋体" w:eastAsia="宋体" w:cs="宋体"/>
                <w:b w:val="0"/>
                <w:bCs w:val="0"/>
                <w:color w:val="auto"/>
                <w:sz w:val="21"/>
                <w:szCs w:val="21"/>
                <w:lang w:val="en-US" w:eastAsia="zh-CN"/>
              </w:rPr>
              <w:t>18</w:t>
            </w:r>
            <w:r>
              <w:rPr>
                <w:rFonts w:hint="eastAsia" w:eastAsia="宋体" w:cs="宋体"/>
                <w:b w:val="0"/>
                <w:bCs w:val="0"/>
                <w:color w:val="auto"/>
                <w:sz w:val="21"/>
                <w:szCs w:val="21"/>
                <w:lang w:val="en-US" w:eastAsia="zh-CN"/>
              </w:rPr>
              <w:t>0</w:t>
            </w:r>
            <w:r>
              <w:rPr>
                <w:rFonts w:hint="eastAsia" w:ascii="宋体" w:hAnsi="宋体" w:eastAsia="宋体" w:cs="宋体"/>
                <w:b w:val="0"/>
                <w:bCs w:val="0"/>
                <w:color w:val="auto"/>
                <w:sz w:val="21"/>
                <w:szCs w:val="21"/>
                <w:lang w:val="en-US" w:eastAsia="zh-CN"/>
              </w:rPr>
              <w:t>0*850*390mm。</w:t>
            </w:r>
          </w:p>
          <w:p w14:paraId="7CB02EE0">
            <w:pPr>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2.材质：</w:t>
            </w:r>
            <w:r>
              <w:rPr>
                <w:rFonts w:hint="eastAsia" w:ascii="宋体" w:hAnsi="宋体" w:eastAsia="宋体" w:cs="宋体"/>
                <w:b w:val="0"/>
                <w:bCs w:val="0"/>
                <w:color w:val="auto"/>
                <w:sz w:val="21"/>
                <w:szCs w:val="21"/>
              </w:rPr>
              <w:t>采用</w:t>
            </w:r>
            <w:r>
              <w:rPr>
                <w:rFonts w:hint="eastAsia" w:ascii="宋体" w:hAnsi="宋体" w:eastAsia="宋体" w:cs="宋体"/>
                <w:b w:val="0"/>
                <w:bCs w:val="0"/>
                <w:color w:val="auto"/>
                <w:sz w:val="21"/>
                <w:szCs w:val="21"/>
                <w:lang w:val="en-US" w:eastAsia="zh-CN"/>
              </w:rPr>
              <w:t>0.6</w:t>
            </w:r>
            <w:r>
              <w:rPr>
                <w:rFonts w:hint="eastAsia" w:ascii="宋体" w:hAnsi="宋体" w:eastAsia="宋体" w:cs="宋体"/>
                <w:b w:val="0"/>
                <w:bCs w:val="0"/>
                <w:color w:val="auto"/>
                <w:sz w:val="21"/>
                <w:szCs w:val="21"/>
              </w:rPr>
              <w:t>mm</w:t>
            </w:r>
            <w:r>
              <w:rPr>
                <w:rFonts w:hint="eastAsia" w:ascii="宋体" w:hAnsi="宋体" w:eastAsia="宋体" w:cs="宋体"/>
                <w:b w:val="0"/>
                <w:bCs w:val="0"/>
                <w:color w:val="auto"/>
                <w:sz w:val="21"/>
                <w:szCs w:val="21"/>
                <w:lang w:val="en-US" w:eastAsia="zh-CN"/>
              </w:rPr>
              <w:t>厚</w:t>
            </w:r>
            <w:r>
              <w:rPr>
                <w:rFonts w:hint="eastAsia" w:ascii="宋体" w:hAnsi="宋体" w:eastAsia="宋体" w:cs="宋体"/>
                <w:b w:val="0"/>
                <w:bCs w:val="0"/>
                <w:color w:val="auto"/>
                <w:sz w:val="21"/>
                <w:szCs w:val="21"/>
              </w:rPr>
              <w:t>优质冷轧钢板经剪切，冲压，折弯，焊接，装配而成。表面经防锈处理后静电粉末喷塑，锁具安全可靠，不易仿配。经久耐用，不易变形。</w:t>
            </w:r>
          </w:p>
          <w:p w14:paraId="1C7D7E35">
            <w:pPr>
              <w:numPr>
                <w:ilvl w:val="0"/>
                <w:numId w:val="0"/>
              </w:num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表面处理：表面经过脱脂→酸洗→表调→磷化→水洗→烘干→静电喷塑→烘干等九工位处理，无锈迹，不变色，不起皱，不失光泽，成品表面光滑、光亮、无有害气体产生，无味不脱落。</w:t>
            </w:r>
          </w:p>
          <w:p w14:paraId="0B47E38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4</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配件：优质国标铝合金及一级电镀配件，优质锁具。</w:t>
            </w:r>
          </w:p>
          <w:p w14:paraId="423C638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5</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颜色：灰白</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表面涂层：喷涂后涂层表面应色泽均匀一致，工件的各部位不应有起粒、皱皮、露底、剥落、伤痕或漏喷等现象</w:t>
            </w:r>
            <w:r>
              <w:rPr>
                <w:rFonts w:hint="eastAsia" w:ascii="宋体" w:hAnsi="宋体" w:eastAsia="宋体" w:cs="宋体"/>
                <w:b w:val="0"/>
                <w:bCs w:val="0"/>
                <w:color w:val="auto"/>
                <w:sz w:val="21"/>
                <w:szCs w:val="21"/>
                <w:highlight w:val="none"/>
                <w:lang w:eastAsia="zh-CN"/>
              </w:rPr>
              <w:t>。</w:t>
            </w:r>
          </w:p>
        </w:tc>
        <w:tc>
          <w:tcPr>
            <w:tcW w:w="525" w:type="dxa"/>
            <w:vAlign w:val="center"/>
          </w:tcPr>
          <w:p w14:paraId="3902146C">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组</w:t>
            </w:r>
          </w:p>
        </w:tc>
        <w:tc>
          <w:tcPr>
            <w:tcW w:w="600" w:type="dxa"/>
            <w:vAlign w:val="center"/>
          </w:tcPr>
          <w:p w14:paraId="71728FC5">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20</w:t>
            </w:r>
          </w:p>
        </w:tc>
        <w:tc>
          <w:tcPr>
            <w:tcW w:w="825" w:type="dxa"/>
            <w:vAlign w:val="center"/>
          </w:tcPr>
          <w:p w14:paraId="481C4DE6">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800</w:t>
            </w:r>
          </w:p>
        </w:tc>
        <w:tc>
          <w:tcPr>
            <w:tcW w:w="855" w:type="dxa"/>
            <w:vAlign w:val="center"/>
          </w:tcPr>
          <w:p w14:paraId="46A525DA">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16000</w:t>
            </w:r>
          </w:p>
        </w:tc>
        <w:tc>
          <w:tcPr>
            <w:tcW w:w="735" w:type="dxa"/>
            <w:vAlign w:val="center"/>
          </w:tcPr>
          <w:p w14:paraId="631A35E5">
            <w:pPr>
              <w:jc w:val="center"/>
              <w:rPr>
                <w:rFonts w:hint="eastAsia" w:ascii="宋体" w:hAnsi="宋体" w:eastAsia="宋体" w:cs="宋体"/>
                <w:b w:val="0"/>
                <w:bCs w:val="0"/>
                <w:color w:val="auto"/>
                <w:sz w:val="21"/>
                <w:szCs w:val="21"/>
              </w:rPr>
            </w:pPr>
          </w:p>
        </w:tc>
        <w:tc>
          <w:tcPr>
            <w:tcW w:w="1050" w:type="dxa"/>
            <w:vAlign w:val="center"/>
          </w:tcPr>
          <w:p w14:paraId="47B6801F">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drawing>
                <wp:inline distT="0" distB="0" distL="114300" distR="114300">
                  <wp:extent cx="575945" cy="913130"/>
                  <wp:effectExtent l="0" t="0" r="14605" b="1270"/>
                  <wp:docPr id="18" name="图片 18" descr="cbec5f290f7f476c7bf61a09783b6c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bec5f290f7f476c7bf61a09783b6cc8"/>
                          <pic:cNvPicPr>
                            <a:picLocks noChangeAspect="1"/>
                          </pic:cNvPicPr>
                        </pic:nvPicPr>
                        <pic:blipFill>
                          <a:blip r:embed="rId10"/>
                          <a:stretch>
                            <a:fillRect/>
                          </a:stretch>
                        </pic:blipFill>
                        <pic:spPr>
                          <a:xfrm>
                            <a:off x="0" y="0"/>
                            <a:ext cx="575945" cy="913130"/>
                          </a:xfrm>
                          <a:prstGeom prst="rect">
                            <a:avLst/>
                          </a:prstGeom>
                        </pic:spPr>
                      </pic:pic>
                    </a:graphicData>
                  </a:graphic>
                </wp:inline>
              </w:drawing>
            </w:r>
          </w:p>
        </w:tc>
        <w:tc>
          <w:tcPr>
            <w:tcW w:w="750" w:type="dxa"/>
            <w:vAlign w:val="center"/>
          </w:tcPr>
          <w:p w14:paraId="7F3C092E">
            <w:pPr>
              <w:jc w:val="center"/>
              <w:rPr>
                <w:rFonts w:hint="eastAsia" w:ascii="宋体" w:hAnsi="宋体" w:eastAsia="宋体" w:cs="宋体"/>
                <w:b w:val="0"/>
                <w:bCs w:val="0"/>
                <w:color w:val="auto"/>
                <w:sz w:val="21"/>
                <w:szCs w:val="21"/>
                <w:u w:val="single"/>
              </w:rPr>
            </w:pPr>
          </w:p>
        </w:tc>
      </w:tr>
      <w:tr w14:paraId="57DB2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14:paraId="7CA6C614">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w:t>
            </w:r>
          </w:p>
        </w:tc>
        <w:tc>
          <w:tcPr>
            <w:tcW w:w="1105" w:type="dxa"/>
            <w:gridSpan w:val="2"/>
            <w:vAlign w:val="center"/>
          </w:tcPr>
          <w:p w14:paraId="76DD78CB">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手动密集柜</w:t>
            </w:r>
          </w:p>
        </w:tc>
        <w:tc>
          <w:tcPr>
            <w:tcW w:w="855" w:type="dxa"/>
            <w:vAlign w:val="center"/>
          </w:tcPr>
          <w:p w14:paraId="64097AEC">
            <w:pPr>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8"/>
                <w:sz w:val="21"/>
                <w:szCs w:val="21"/>
                <w:lang w:val="en-US" w:eastAsia="zh-CN"/>
              </w:rPr>
              <w:t>阳光、金虎、飞狐、美科或同等品牌</w:t>
            </w:r>
          </w:p>
        </w:tc>
        <w:tc>
          <w:tcPr>
            <w:tcW w:w="6690" w:type="dxa"/>
          </w:tcPr>
          <w:p w14:paraId="201481A2">
            <w:pPr>
              <w:pStyle w:val="2"/>
              <w:ind w:left="420" w:leftChars="0" w:hanging="420" w:hanging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一、密集架采用标准:每组规格W900*D600*H2500mm，6组一列。                                                                                                                                                （1）DA/T 7-1992 直列式档案密集架 </w:t>
            </w:r>
          </w:p>
          <w:p w14:paraId="432AAD00">
            <w:pPr>
              <w:pStyle w:val="2"/>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（2）GB/T 13667.3-2013 《钢制书架》第3部分:手动密集书架</w:t>
            </w:r>
          </w:p>
          <w:p w14:paraId="028CAF3D">
            <w:pPr>
              <w:pStyle w:val="2"/>
              <w:ind w:left="0" w:leftChars="0" w:firstLine="0" w:firstLineChars="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二、密集架整体结构：</w:t>
            </w:r>
          </w:p>
          <w:p w14:paraId="1AEF96CE">
            <w:pPr>
              <w:pStyle w:val="2"/>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密集架主要由轨道、底盘、传动机构和架体（包括立柱、挂板、搁板、顶板、门板及侧护板等）等部分组成。架顶设有防尘装置，具有良好的防尘功能；列与列之间装有抗老化橡塑磁性密封条，形成两列间的全封闭，门面列和中间移动列分别装有锁具和制动装置，每组密集架闭合后可用总锁锁住，形成一个封闭的整体，各列移开后可单独制动，确保人员安全，底部设有防鼠、防倾倒装置，因而整个架体具有良好的防尘、防鼠、防潮、防火、防盗和保密功能。</w:t>
            </w:r>
          </w:p>
          <w:p w14:paraId="39530E34">
            <w:pPr>
              <w:pStyle w:val="2"/>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轨道：由轨道垫板和导轨组成，轨道垫板采用≥3.0mm冷轧钢板，轨道垫板采用数控折弯一体成型工艺，开放矩形结构，折边尺寸一致，表面光洁，成型标准化；导轨采用20×20mm实心方钢，方钢表面光滑，直线度高，轨道表面镀锌处理工艺。</w:t>
            </w:r>
          </w:p>
          <w:p w14:paraId="5E7B103A">
            <w:pPr>
              <w:pStyle w:val="2"/>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底盘：采用分段组合工艺，用材厚度为≥3.0mm优质冷轧钢板，U型槽结构一次成型，高度≥120mm，上下双翻边加强，上翻边≥50mm。轴承支架为U型槽结构一次成型，高度≥45mm，左右双翻边加强，驼面≥60mm，与底梁焊接成整体，承重能力强；底盘采用分段焊接后整体组装式，连接牢固、运输、安装方便，底梁下设有防倾倒装置，底盘两端封头横梁与纵梁牢固焊接，在直角处上、下两平面均焊上三角形加强板，有效保证底盘架体不扭曲、错位、变形，密集架在轨移动轻便、平滑、平整。</w:t>
            </w:r>
          </w:p>
          <w:p w14:paraId="1EBAB372">
            <w:pPr>
              <w:pStyle w:val="2"/>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传动机构：主要由精铸滚轮、传动轴、连接管、调心轴承、精密滚子摩托车链条，机械式自脱超越离合摇手体、精制链轮等零（部）件组成。为保证驱动任何一列均可轻便、平稳整体移动，采用中轴带动双轴传动方式，开启移动平稳、灵活、运转自如、无阻滞、不打滑、摇力轻，不得有失灵现象。经过多级速比（传动比为1:6），即保证移动速度，又保证手柄摇力符合国家标准，每列标准摇力不大于12N。手柄摇动时能自动挂挡，当密集架处于从动或不动状态时，摇柄自行停于垂直位置，手柄可折叠，避免了通行障碍。</w:t>
            </w:r>
          </w:p>
          <w:p w14:paraId="786C0399">
            <w:pPr>
              <w:pStyle w:val="2"/>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①传动轴：采用Φ20mm，实心圆钢，经热处理调质。</w:t>
            </w:r>
          </w:p>
          <w:p w14:paraId="0F2F4B59">
            <w:pPr>
              <w:pStyle w:val="2"/>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②链轮：锻压精密加工成型，回火去除应力，加工车、滚齿、去毛齿、齿部经高频淬火。</w:t>
            </w:r>
          </w:p>
          <w:p w14:paraId="49789690">
            <w:pPr>
              <w:pStyle w:val="2"/>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③轴承：采用P204 E级调心轴承，永久密封及润滑。</w:t>
            </w:r>
          </w:p>
          <w:p w14:paraId="396859B5">
            <w:pPr>
              <w:pStyle w:val="2"/>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④链条：采用节距12.7摩托车滚子链条。</w:t>
            </w:r>
          </w:p>
          <w:p w14:paraId="577FE3B8">
            <w:pPr>
              <w:pStyle w:val="2"/>
              <w:numPr>
                <w:ilvl w:val="0"/>
                <w:numId w:val="1"/>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立柱：采用≥1.5mm优质冷轧钢板，截面尺寸为50×39mm±1mm。立柱正面压制梯形槽，槽宽35mm×深2mm，允许尺寸公差±0.5mm,槽内压制一次成型中式云纹筋，背面采用R3mm圆弧角过渡，一次挤压成D形封闭口，截面尺寸为8×7mm，允许尺寸公差±1mm，立柱两侧均匀冲裁挂钩孔，孔距为54mm，允许尺寸公差±1mm，使搁板层数和间距可按需调整，挂钩孔向内拉伸成腰形凹槽，外形尺寸为38×12mm，槽深2mm,允许尺寸公差±0.5mm，侧面距边8mm处均压制两条加强圆筋，筋宽5mm，深1.5mm,允许尺寸公差±0.5mm。加强型立柱构造新颖、立体感强、外形优美，承重能力强，刚性足。</w:t>
            </w:r>
          </w:p>
          <w:p w14:paraId="13B83CFF">
            <w:pPr>
              <w:pStyle w:val="2"/>
              <w:numPr>
                <w:ilvl w:val="0"/>
                <w:numId w:val="0"/>
              </w:numPr>
              <w:ind w:firstLine="420" w:firstLineChars="200"/>
              <w:jc w:val="left"/>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搁板：采用≥1.0mm优质冷轧钢板,搁板防惯性滑落设计，九折弯一体成形工艺，两侧形成15mm宽内封闭式矩形口，允许尺寸公差±1mm。搁板正面压制两组圆筋，每组压筋数3条，主筋尺寸5×2.5mm，辅筋尺寸3.6×1.8mm，两侧各压制两根加强筋，筋尺寸3×1.5mm，允许尺寸公差±1mm。搁板内侧厚度23mm，外侧面厚度27mm，允许尺寸公差±1mm。防惯性封口搁板外观新颖、刚性足，增加了搁板承重能力，可有效防止架体运行过程中由于惯性而导致档案外移而掉落，保护档案的安全。                                                                                                                                                                                       （7）挂板: 采用≥1.0mm优质冷轧钢板，数控一体冲压成型，中间有两个台阶加强孔，孔上下位置共设四根圆筋，挂板上下端直角折弯，并冲有四个凸槽，使搁板嵌置于弯边凸肩上，组装后平整、牢固。承重性好，外观新颖，可防止搁板前后窜动，通用性互换性好。</w:t>
            </w:r>
          </w:p>
          <w:p w14:paraId="37D3F3B1">
            <w:pPr>
              <w:pStyle w:val="2"/>
              <w:numPr>
                <w:ilvl w:val="0"/>
                <w:numId w:val="0"/>
              </w:numPr>
              <w:ind w:firstLine="210" w:firstLineChars="1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（8）顶板≥1.0mm冷轧钢板，数控一体成型工艺。</w:t>
            </w:r>
          </w:p>
          <w:p w14:paraId="20FADB94">
            <w:pPr>
              <w:pStyle w:val="2"/>
              <w:numPr>
                <w:ilvl w:val="0"/>
                <w:numId w:val="0"/>
              </w:numPr>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（9）门框及门板：≥1.0mm冷轧钢板，采用数控折弯一体成型工艺，四面翻边结构，折弯成型厚度23mm±1mm，背面两边带封边，可有效的将门轴和锁栓隐藏，锁孔用锁盖封住，门面平整，背面整体感强。</w:t>
            </w:r>
          </w:p>
          <w:p w14:paraId="6EFEF99F">
            <w:pPr>
              <w:pStyle w:val="2"/>
              <w:numPr>
                <w:ilvl w:val="0"/>
                <w:numId w:val="0"/>
              </w:numPr>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 xml:space="preserve">（10）门面锁具：采用豪华型密集架专用锁具。 </w:t>
            </w:r>
          </w:p>
          <w:p w14:paraId="1D937A20">
            <w:pPr>
              <w:pStyle w:val="2"/>
              <w:numPr>
                <w:ilvl w:val="0"/>
                <w:numId w:val="0"/>
              </w:numPr>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11）侧板：采用≥1.0mm优质冷轧钢板。侧板采用五面四翻边三段式结构，中段(部)正面压塔包。塔底尺寸长宽为15mm，允许尺寸公差±1mm；塔顶尺寸长宽为3mm，塔高为3mm，允许尺寸公差±0.5mm；塔包间中心距为50mm，允许尺寸公差±1mm。侧板款式新颖、结构独特、造型美观，强度高，正面按压不变形。</w:t>
            </w:r>
          </w:p>
          <w:p w14:paraId="46704C91">
            <w:pPr>
              <w:pStyle w:val="2"/>
              <w:numPr>
                <w:ilvl w:val="0"/>
                <w:numId w:val="0"/>
              </w:numPr>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12）挂钩挡棒：采用≥1.0mm优质冷轧钢板一体成型而成，四折弯，挂钩挡棒成型14×14mm，允许尺寸公差±1mm，挡棒三面各压一条筋，圆筋直径2mm，允许尺寸公差±0.5mm，挂钩挡棒采用凹槽式挂钩与挂板上孔位机械配合，紧密相连不易松动脱落，也不易导致挂板产生不可逆转的变形，安装便捷，挂钩挡棒外形美观，强度高。</w:t>
            </w:r>
          </w:p>
          <w:p w14:paraId="1BB707B1">
            <w:pPr>
              <w:pStyle w:val="2"/>
              <w:numPr>
                <w:ilvl w:val="0"/>
                <w:numId w:val="0"/>
              </w:numPr>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（13）磁性密封条：每列接触面均有缓冲及密封装置，使架体具有良好的防震、防尘、防鼠、防光、防潮、防火功能。</w:t>
            </w:r>
          </w:p>
          <w:p w14:paraId="05A5138A">
            <w:pPr>
              <w:pStyle w:val="2"/>
              <w:numPr>
                <w:ilvl w:val="0"/>
                <w:numId w:val="0"/>
              </w:numPr>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（14）防尘板：采用≥1.0mm冷轧钢板具有良好的防尘、防鼠、防光、防潮、防火功能。</w:t>
            </w:r>
          </w:p>
          <w:p w14:paraId="27FF0380">
            <w:pPr>
              <w:pStyle w:val="2"/>
              <w:numPr>
                <w:ilvl w:val="0"/>
                <w:numId w:val="0"/>
              </w:numPr>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（15）防倾倒装置：采用≥4.0mm冷轧钢板冲压成型，该装置确保密集架在密集架运动过程中或静止状态下都能起到良好的防密集架倾倒的作用，从而确保人员、设备及财产安全。</w:t>
            </w:r>
          </w:p>
          <w:p w14:paraId="7BC3F4BD">
            <w:pPr>
              <w:pStyle w:val="2"/>
              <w:numPr>
                <w:ilvl w:val="0"/>
                <w:numId w:val="0"/>
              </w:numPr>
              <w:ind w:firstLine="420" w:firstLineChars="2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（16）总承传动系统和摇手机构</w:t>
            </w:r>
          </w:p>
          <w:p w14:paraId="0E7B2BEC">
            <w:pPr>
              <w:pStyle w:val="2"/>
              <w:numPr>
                <w:ilvl w:val="0"/>
                <w:numId w:val="0"/>
              </w:numPr>
              <w:rPr>
                <w:rFonts w:hint="eastAsia" w:ascii="宋体" w:hAnsi="宋体" w:eastAsia="宋体" w:cs="宋体"/>
                <w:b w:val="0"/>
                <w:bCs w:val="0"/>
                <w:color w:val="auto"/>
                <w:sz w:val="21"/>
                <w:szCs w:val="21"/>
                <w:lang w:val="en-US" w:eastAsia="zh-CN"/>
              </w:rPr>
            </w:pPr>
            <w:bookmarkStart w:id="0" w:name="_GoBack"/>
            <w:bookmarkEnd w:id="0"/>
            <w:r>
              <w:rPr>
                <w:rFonts w:hint="eastAsia" w:ascii="宋体" w:hAnsi="宋体" w:eastAsia="宋体" w:cs="宋体"/>
                <w:b w:val="0"/>
                <w:bCs w:val="0"/>
                <w:color w:val="auto"/>
                <w:sz w:val="21"/>
                <w:szCs w:val="21"/>
                <w:lang w:val="en-US" w:eastAsia="zh-CN"/>
              </w:rPr>
              <w:t>①总承传动系统：双向超越离合器结构原理，手柄自由挂档脱落装置，采用多次变速设计。链轮为机械精加工而成，经锻压加工成型，回火除应力，链条采用摩托车链条，节距12.7，滚珠轴承采用省力型。每列带有制动装置，边列带有总锁结构。</w:t>
            </w:r>
          </w:p>
          <w:p w14:paraId="5F2EB1AC">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②摇手机构：圆盘形状，高强度塑胶材料注塑而成，圆盘盘体尺寸28×22mm，允许尺寸公差±2mm。手柄设置在盘体上，可折叠并隐藏在加强弧筋内，有效增加通道空间利用率。</w:t>
            </w:r>
          </w:p>
          <w:p w14:paraId="34BB60F6">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三、加工制造要求</w:t>
            </w:r>
          </w:p>
          <w:p w14:paraId="35AC42DD">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（1）密集架架体外观设计美观大方，部件结构平整流畅，操作轻便，运行平稳。</w:t>
            </w:r>
          </w:p>
          <w:p w14:paraId="2BBF8BB3">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（2）密集架整体采用八防设计要求：防火、防潮、防鼠、防光、防尘、防盗、防倒、防高温。</w:t>
            </w:r>
          </w:p>
          <w:p w14:paraId="426F244B">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（3）密集架各零件、组合件表面处理光滑平整，不得有尖角、凸起，不得有影响外观和使用性能，组合件安装应牢固，整个架体不晃动。</w:t>
            </w:r>
          </w:p>
          <w:p w14:paraId="694B01BB">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（4）冲压、折弯表面不允许有裂痕，确保各零部件为良品。</w:t>
            </w:r>
          </w:p>
          <w:p w14:paraId="2B700529">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（5）密集架零部件焊接部件要无虚焊，因焊接产生的变形必须矫正，焊痕需打磨处理，焊痕表面均匀、平整。</w:t>
            </w:r>
          </w:p>
          <w:p w14:paraId="56890D36">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（6）密集架颜色按用户要求，表面涂层应平整光滑，色泽均匀一致，喷涂无死角；漆面应均匀光滑、无划痕，外观不允许有流挂、渍痕、起粒、气泡、露底、剥落、伤痕等缺陷。</w:t>
            </w:r>
          </w:p>
          <w:p w14:paraId="352F3A46">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（7）密集架所有列闭合后，列与列应整齐划一，平面度允许偏差正负3mm。</w:t>
            </w:r>
          </w:p>
          <w:p w14:paraId="4DAB17C0">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（8）密集架列与列之间缝隙应均匀，安装密封条后不应有空隙。</w:t>
            </w:r>
          </w:p>
          <w:p w14:paraId="2D285A4E">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四、安装要求</w:t>
            </w:r>
          </w:p>
          <w:p w14:paraId="4BEE8C0A">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（1）轨道：单条轨道直线度≤1.0mm/m，全长≤2 mm。对接处高低≤0.3 mm。轨道安装要求：</w:t>
            </w:r>
          </w:p>
          <w:p w14:paraId="298297BD">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1）将地面清理干净。</w:t>
            </w:r>
          </w:p>
          <w:p w14:paraId="301A69CE">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2）用红外线水平仪打水平。</w:t>
            </w:r>
          </w:p>
          <w:p w14:paraId="2D32F969">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3）以第一根为基准成水平，按照图纸的尺寸定第二根尺寸，调试好水平，使两根轨道同在一水平线上，再次测量两轨道的对角线（后续轨道尺寸按图纸依次定好）。</w:t>
            </w:r>
          </w:p>
          <w:p w14:paraId="464CC638">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4）每根轨道任意1000mm间，纵向水平误差在±0.5mm,全长误差在±2.5mm,横向轨道之间水平误差在±0.5mm。</w:t>
            </w:r>
          </w:p>
          <w:p w14:paraId="68B22798">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5）每水平间需垫铁片的距离在150-250mm范围内，若地面原水平误差大20-30mm，需要用混凝土打底抽筋为水平。</w:t>
            </w:r>
          </w:p>
          <w:p w14:paraId="04CD5EEF">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6）膨胀螺丝采用的型号是M8×80mm，轨道膨胀螺丝间距为500mm，采用外膨胀形式固定。</w:t>
            </w:r>
          </w:p>
          <w:p w14:paraId="3826EE91">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（2）在全负载的情况下，各列密集架运行自如，无阻滞现象，各构件和架体不会产生明显变形，架体不会产生倾斜现象。</w:t>
            </w:r>
          </w:p>
          <w:p w14:paraId="7158C729">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五、载重性能</w:t>
            </w:r>
          </w:p>
          <w:p w14:paraId="505C6D85">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（1）单面搁板上均布载重40Kg，双面均布负载80Kg，最大挠度为3mm，24h卸载后，不得有裂纹及永久变形。</w:t>
            </w:r>
          </w:p>
          <w:p w14:paraId="72BCB183">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（2）标准节（搁板）在全负载（每块单面搁板均布载重40Kg）的情况下，架体、立柱不应有明显变形，架体不应产生倾倒现象。</w:t>
            </w:r>
          </w:p>
          <w:p w14:paraId="3E94DA6A">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（3）在全负载的情况下（每块单面搁板上均布载重40kg），各列密集架在手动或电动操作下，都应运行自如，不得有阻滞现象。</w:t>
            </w:r>
          </w:p>
          <w:p w14:paraId="691DC7B1">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（4）每标准节在全负载的情况下，承受沿X、Y轴两个方向额定载荷1/15的水平拉力作用，标准节不得翻倒。</w:t>
            </w:r>
          </w:p>
          <w:p w14:paraId="3935BDF2">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（5）在最高搁板中心离外沿5mm处，同时施加垂直力50kg和标准节额定载荷1/15的垂直力，架体不得倾倒。</w:t>
            </w:r>
          </w:p>
          <w:p w14:paraId="33794EB4">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六、除油、去锈处理工艺要求</w:t>
            </w:r>
          </w:p>
          <w:p w14:paraId="52C2673B">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密集架采用优质冷轧钢板精工制造，工件经除油、去锈、脱脂、表调、磷化、水洗等十三道工序前处理，采用国际最新流行色优质环保型高附着力的金属表面纳米抗菌塑粉静电自动喷粉，表面涂层高温固化而成，提高其防锈蚀和抗菌性能。架体外观设计要求精美，线条流畅，与馆库装修风格协调一致；库房设备布置整洁美观；架体操作轻便灵活，运行平稳，具有良好的防盗、防光、防高温、防火、防潮、防尘、防鼠、防虫功能。</w:t>
            </w:r>
          </w:p>
          <w:p w14:paraId="2315396E">
            <w:pPr>
              <w:pStyle w:val="2"/>
              <w:numPr>
                <w:ilvl w:val="0"/>
                <w:numId w:val="0"/>
              </w:numP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（2）表面处理达到如下标准：光泽度为45-60%，冲击强度&gt;60kg/cm2，涂膜厚度为60-70um，附着力达到Ⅱ级标准。各标准件、紧固件均进行防锈(镀锌)处理，表面光滑、平整，无尖角。</w:t>
            </w:r>
          </w:p>
        </w:tc>
        <w:tc>
          <w:tcPr>
            <w:tcW w:w="525" w:type="dxa"/>
            <w:vAlign w:val="center"/>
          </w:tcPr>
          <w:p w14:paraId="57FF3357">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m³</w:t>
            </w:r>
          </w:p>
        </w:tc>
        <w:tc>
          <w:tcPr>
            <w:tcW w:w="600" w:type="dxa"/>
            <w:vAlign w:val="center"/>
          </w:tcPr>
          <w:p w14:paraId="351FF148">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600</w:t>
            </w:r>
          </w:p>
        </w:tc>
        <w:tc>
          <w:tcPr>
            <w:tcW w:w="825" w:type="dxa"/>
            <w:vAlign w:val="center"/>
          </w:tcPr>
          <w:p w14:paraId="5746E949">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1370</w:t>
            </w:r>
          </w:p>
        </w:tc>
        <w:tc>
          <w:tcPr>
            <w:tcW w:w="855" w:type="dxa"/>
            <w:vAlign w:val="center"/>
          </w:tcPr>
          <w:p w14:paraId="15A4091B">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822000</w:t>
            </w:r>
          </w:p>
        </w:tc>
        <w:tc>
          <w:tcPr>
            <w:tcW w:w="735" w:type="dxa"/>
            <w:vAlign w:val="center"/>
          </w:tcPr>
          <w:p w14:paraId="743B462D">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否</w:t>
            </w:r>
          </w:p>
        </w:tc>
        <w:tc>
          <w:tcPr>
            <w:tcW w:w="1050" w:type="dxa"/>
            <w:vAlign w:val="center"/>
          </w:tcPr>
          <w:p w14:paraId="72E27D0B">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drawing>
                <wp:inline distT="0" distB="0" distL="114300" distR="114300">
                  <wp:extent cx="631825" cy="357505"/>
                  <wp:effectExtent l="0" t="0" r="15875" b="4445"/>
                  <wp:docPr id="10" name="图片 10" descr="2e9ed73db0d20cc7136069c1638988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e9ed73db0d20cc7136069c16389885b"/>
                          <pic:cNvPicPr>
                            <a:picLocks noChangeAspect="1"/>
                          </pic:cNvPicPr>
                        </pic:nvPicPr>
                        <pic:blipFill>
                          <a:blip r:embed="rId11"/>
                          <a:stretch>
                            <a:fillRect/>
                          </a:stretch>
                        </pic:blipFill>
                        <pic:spPr>
                          <a:xfrm>
                            <a:off x="0" y="0"/>
                            <a:ext cx="631825" cy="357505"/>
                          </a:xfrm>
                          <a:prstGeom prst="rect">
                            <a:avLst/>
                          </a:prstGeom>
                        </pic:spPr>
                      </pic:pic>
                    </a:graphicData>
                  </a:graphic>
                </wp:inline>
              </w:drawing>
            </w:r>
          </w:p>
        </w:tc>
        <w:tc>
          <w:tcPr>
            <w:tcW w:w="750" w:type="dxa"/>
            <w:vAlign w:val="center"/>
          </w:tcPr>
          <w:p w14:paraId="0C65EA00">
            <w:pPr>
              <w:jc w:val="center"/>
              <w:rPr>
                <w:rFonts w:hint="eastAsia" w:ascii="宋体" w:hAnsi="宋体" w:eastAsia="宋体" w:cs="宋体"/>
                <w:b w:val="0"/>
                <w:bCs w:val="0"/>
                <w:color w:val="auto"/>
                <w:sz w:val="21"/>
                <w:szCs w:val="21"/>
                <w:u w:val="single"/>
              </w:rPr>
            </w:pPr>
          </w:p>
        </w:tc>
      </w:tr>
      <w:tr w14:paraId="774A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597" w:type="dxa"/>
            <w:vAlign w:val="center"/>
          </w:tcPr>
          <w:p w14:paraId="650A325A">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9</w:t>
            </w:r>
          </w:p>
        </w:tc>
        <w:tc>
          <w:tcPr>
            <w:tcW w:w="1105" w:type="dxa"/>
            <w:gridSpan w:val="2"/>
            <w:vAlign w:val="center"/>
          </w:tcPr>
          <w:p w14:paraId="64B754D2">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拆装密集柜一批</w:t>
            </w:r>
          </w:p>
          <w:p w14:paraId="733BCE8F">
            <w:pPr>
              <w:pStyle w:val="2"/>
              <w:rPr>
                <w:rFonts w:hint="eastAsia" w:ascii="宋体" w:hAnsi="宋体" w:eastAsia="宋体" w:cs="宋体"/>
                <w:b w:val="0"/>
                <w:bCs w:val="0"/>
                <w:color w:val="auto"/>
                <w:sz w:val="21"/>
                <w:szCs w:val="21"/>
                <w:lang w:val="en-US" w:eastAsia="zh-CN"/>
              </w:rPr>
            </w:pPr>
          </w:p>
          <w:p w14:paraId="2BFCFCDF">
            <w:pPr>
              <w:pStyle w:val="2"/>
              <w:rPr>
                <w:rFonts w:hint="eastAsia" w:ascii="宋体" w:hAnsi="宋体" w:eastAsia="宋体" w:cs="宋体"/>
                <w:b w:val="0"/>
                <w:bCs w:val="0"/>
                <w:color w:val="auto"/>
                <w:sz w:val="21"/>
                <w:szCs w:val="21"/>
                <w:lang w:val="en-US" w:eastAsia="zh-CN"/>
              </w:rPr>
            </w:pPr>
          </w:p>
        </w:tc>
        <w:tc>
          <w:tcPr>
            <w:tcW w:w="855" w:type="dxa"/>
            <w:vAlign w:val="center"/>
          </w:tcPr>
          <w:p w14:paraId="6BBCEF65">
            <w:pPr>
              <w:rPr>
                <w:rFonts w:hint="eastAsia" w:ascii="宋体" w:hAnsi="宋体" w:eastAsia="宋体" w:cs="宋体"/>
                <w:b w:val="0"/>
                <w:bCs w:val="0"/>
                <w:color w:val="auto"/>
                <w:sz w:val="21"/>
                <w:szCs w:val="21"/>
              </w:rPr>
            </w:pPr>
          </w:p>
        </w:tc>
        <w:tc>
          <w:tcPr>
            <w:tcW w:w="6690" w:type="dxa"/>
          </w:tcPr>
          <w:p w14:paraId="623D5752">
            <w:pPr>
              <w:bidi w:val="0"/>
              <w:rPr>
                <w:rFonts w:hint="eastAsia"/>
                <w:color w:val="auto"/>
                <w:lang w:val="en-US" w:eastAsia="zh-CN"/>
              </w:rPr>
            </w:pPr>
            <w:r>
              <w:rPr>
                <w:rFonts w:hint="eastAsia" w:ascii="宋体" w:hAnsi="宋体" w:eastAsia="宋体" w:cs="宋体"/>
                <w:b w:val="0"/>
                <w:bCs w:val="0"/>
                <w:color w:val="auto"/>
                <w:sz w:val="21"/>
                <w:szCs w:val="21"/>
                <w:lang w:val="en-US" w:eastAsia="zh-CN"/>
              </w:rPr>
              <w:t>数量：176组，要求：拆除原有密集柜，安装至指定位置，本次费用需包含原有密集架的拆装、搬运、安装工作以及配件补充完整及所有人工费用，所有密集柜均按要求就位，安装牢固、养护、测试，可正常使用，整体验收合格。</w:t>
            </w:r>
          </w:p>
        </w:tc>
        <w:tc>
          <w:tcPr>
            <w:tcW w:w="525" w:type="dxa"/>
            <w:vAlign w:val="center"/>
          </w:tcPr>
          <w:p w14:paraId="0F906043">
            <w:pPr>
              <w:jc w:val="both"/>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批</w:t>
            </w:r>
          </w:p>
        </w:tc>
        <w:tc>
          <w:tcPr>
            <w:tcW w:w="600" w:type="dxa"/>
            <w:vAlign w:val="center"/>
          </w:tcPr>
          <w:p w14:paraId="7434B773">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p>
        </w:tc>
        <w:tc>
          <w:tcPr>
            <w:tcW w:w="825" w:type="dxa"/>
            <w:vAlign w:val="center"/>
          </w:tcPr>
          <w:p w14:paraId="4311738C">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40000</w:t>
            </w:r>
          </w:p>
        </w:tc>
        <w:tc>
          <w:tcPr>
            <w:tcW w:w="855" w:type="dxa"/>
            <w:vAlign w:val="center"/>
          </w:tcPr>
          <w:p w14:paraId="1D875F8A">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40000</w:t>
            </w:r>
          </w:p>
        </w:tc>
        <w:tc>
          <w:tcPr>
            <w:tcW w:w="735" w:type="dxa"/>
            <w:vAlign w:val="center"/>
          </w:tcPr>
          <w:p w14:paraId="0D69096D">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否</w:t>
            </w:r>
          </w:p>
        </w:tc>
        <w:tc>
          <w:tcPr>
            <w:tcW w:w="1050" w:type="dxa"/>
            <w:vAlign w:val="center"/>
          </w:tcPr>
          <w:p w14:paraId="5E4C48A1">
            <w:pPr>
              <w:jc w:val="center"/>
              <w:rPr>
                <w:rFonts w:hint="eastAsia" w:ascii="宋体" w:hAnsi="宋体" w:eastAsia="宋体" w:cs="宋体"/>
                <w:b w:val="0"/>
                <w:bCs w:val="0"/>
                <w:color w:val="auto"/>
                <w:sz w:val="21"/>
                <w:szCs w:val="21"/>
                <w:lang w:val="en-US" w:eastAsia="zh-CN"/>
              </w:rPr>
            </w:pPr>
          </w:p>
        </w:tc>
        <w:tc>
          <w:tcPr>
            <w:tcW w:w="750" w:type="dxa"/>
            <w:vAlign w:val="center"/>
          </w:tcPr>
          <w:p w14:paraId="7B7F7EAB">
            <w:pPr>
              <w:jc w:val="center"/>
              <w:rPr>
                <w:rFonts w:hint="eastAsia" w:ascii="宋体" w:hAnsi="宋体" w:eastAsia="宋体" w:cs="宋体"/>
                <w:b w:val="0"/>
                <w:bCs w:val="0"/>
                <w:color w:val="auto"/>
                <w:sz w:val="21"/>
                <w:szCs w:val="21"/>
                <w:u w:val="single"/>
              </w:rPr>
            </w:pPr>
          </w:p>
        </w:tc>
      </w:tr>
      <w:tr w14:paraId="19BC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14:paraId="5446EAFD">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10</w:t>
            </w:r>
          </w:p>
        </w:tc>
        <w:tc>
          <w:tcPr>
            <w:tcW w:w="1105" w:type="dxa"/>
            <w:gridSpan w:val="2"/>
            <w:shd w:val="clear" w:color="auto" w:fill="FFFFFF" w:themeFill="background1"/>
            <w:vAlign w:val="center"/>
          </w:tcPr>
          <w:p w14:paraId="64DE8796">
            <w:pPr>
              <w:jc w:val="center"/>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原有密集架增加轨道</w:t>
            </w:r>
          </w:p>
        </w:tc>
        <w:tc>
          <w:tcPr>
            <w:tcW w:w="855" w:type="dxa"/>
            <w:vAlign w:val="center"/>
          </w:tcPr>
          <w:p w14:paraId="3333E95A">
            <w:pPr>
              <w:rPr>
                <w:rFonts w:hint="eastAsia" w:ascii="宋体" w:hAnsi="宋体" w:eastAsia="宋体" w:cs="宋体"/>
                <w:b w:val="0"/>
                <w:bCs w:val="0"/>
                <w:color w:val="auto"/>
                <w:sz w:val="21"/>
                <w:szCs w:val="21"/>
              </w:rPr>
            </w:pPr>
          </w:p>
        </w:tc>
        <w:tc>
          <w:tcPr>
            <w:tcW w:w="6690" w:type="dxa"/>
          </w:tcPr>
          <w:p w14:paraId="6F19C57A">
            <w:pPr>
              <w:bidi w:val="0"/>
              <w:rPr>
                <w:rFonts w:hint="eastAsia" w:ascii="宋体" w:hAnsi="宋体" w:eastAsia="宋体" w:cs="宋体"/>
                <w:b w:val="0"/>
                <w:bCs w:val="0"/>
                <w:color w:val="auto"/>
                <w:sz w:val="21"/>
                <w:szCs w:val="21"/>
                <w:lang w:val="en-US" w:eastAsia="zh-CN"/>
              </w:rPr>
            </w:pPr>
            <w:r>
              <w:rPr>
                <w:rFonts w:hint="eastAsia" w:ascii="宋体" w:hAnsi="宋体" w:eastAsia="宋体" w:cs="宋体"/>
                <w:color w:val="auto"/>
                <w:sz w:val="21"/>
                <w:szCs w:val="21"/>
                <w:vertAlign w:val="baseline"/>
                <w:lang w:val="en-US" w:eastAsia="zh-CN"/>
              </w:rPr>
              <w:t>规格：30*30mm，方钢</w:t>
            </w:r>
          </w:p>
        </w:tc>
        <w:tc>
          <w:tcPr>
            <w:tcW w:w="525" w:type="dxa"/>
            <w:shd w:val="clear" w:color="auto" w:fill="FFFFFF" w:themeFill="background1"/>
            <w:vAlign w:val="center"/>
          </w:tcPr>
          <w:p w14:paraId="1AF99EFA">
            <w:pPr>
              <w:jc w:val="center"/>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米</w:t>
            </w:r>
          </w:p>
        </w:tc>
        <w:tc>
          <w:tcPr>
            <w:tcW w:w="600" w:type="dxa"/>
            <w:shd w:val="clear" w:color="auto" w:fill="FFFFFF" w:themeFill="background1"/>
            <w:vAlign w:val="center"/>
          </w:tcPr>
          <w:p w14:paraId="24BF2F2C">
            <w:pPr>
              <w:jc w:val="center"/>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73</w:t>
            </w:r>
          </w:p>
        </w:tc>
        <w:tc>
          <w:tcPr>
            <w:tcW w:w="825" w:type="dxa"/>
            <w:vAlign w:val="center"/>
          </w:tcPr>
          <w:p w14:paraId="1B6A3033">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color w:val="auto"/>
                <w:sz w:val="21"/>
                <w:szCs w:val="21"/>
                <w:vertAlign w:val="baseline"/>
                <w:lang w:val="en-US" w:eastAsia="zh-CN"/>
              </w:rPr>
              <w:t>220</w:t>
            </w:r>
          </w:p>
        </w:tc>
        <w:tc>
          <w:tcPr>
            <w:tcW w:w="855" w:type="dxa"/>
            <w:shd w:val="clear" w:color="auto" w:fill="FFFFFF" w:themeFill="background1"/>
            <w:vAlign w:val="center"/>
          </w:tcPr>
          <w:p w14:paraId="616FC653">
            <w:pPr>
              <w:jc w:val="center"/>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16060</w:t>
            </w:r>
          </w:p>
        </w:tc>
        <w:tc>
          <w:tcPr>
            <w:tcW w:w="735" w:type="dxa"/>
            <w:vAlign w:val="center"/>
          </w:tcPr>
          <w:p w14:paraId="6BF697B8">
            <w:pPr>
              <w:jc w:val="center"/>
              <w:rPr>
                <w:rFonts w:hint="eastAsia" w:ascii="宋体" w:hAnsi="宋体" w:eastAsia="宋体" w:cs="宋体"/>
                <w:b w:val="0"/>
                <w:bCs w:val="0"/>
                <w:color w:val="auto"/>
                <w:sz w:val="21"/>
                <w:szCs w:val="21"/>
                <w:lang w:val="en-US" w:eastAsia="zh-CN"/>
              </w:rPr>
            </w:pPr>
          </w:p>
        </w:tc>
        <w:tc>
          <w:tcPr>
            <w:tcW w:w="1050" w:type="dxa"/>
            <w:vAlign w:val="center"/>
          </w:tcPr>
          <w:p w14:paraId="768C21FC">
            <w:pPr>
              <w:jc w:val="center"/>
              <w:rPr>
                <w:rFonts w:hint="eastAsia" w:ascii="宋体" w:hAnsi="宋体" w:eastAsia="宋体" w:cs="宋体"/>
                <w:b w:val="0"/>
                <w:bCs w:val="0"/>
                <w:color w:val="auto"/>
                <w:sz w:val="21"/>
                <w:szCs w:val="21"/>
                <w:lang w:val="en-US" w:eastAsia="zh-CN"/>
              </w:rPr>
            </w:pPr>
          </w:p>
        </w:tc>
        <w:tc>
          <w:tcPr>
            <w:tcW w:w="750" w:type="dxa"/>
            <w:vAlign w:val="center"/>
          </w:tcPr>
          <w:p w14:paraId="145F0DBD">
            <w:pPr>
              <w:jc w:val="center"/>
              <w:rPr>
                <w:rFonts w:hint="eastAsia" w:ascii="宋体" w:hAnsi="宋体" w:eastAsia="宋体" w:cs="宋体"/>
                <w:b w:val="0"/>
                <w:bCs w:val="0"/>
                <w:color w:val="auto"/>
                <w:sz w:val="21"/>
                <w:szCs w:val="21"/>
                <w:u w:val="single"/>
              </w:rPr>
            </w:pPr>
          </w:p>
        </w:tc>
      </w:tr>
      <w:tr w14:paraId="69AE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tcBorders>
              <w:bottom w:val="single" w:color="auto" w:sz="4" w:space="0"/>
            </w:tcBorders>
            <w:vAlign w:val="center"/>
          </w:tcPr>
          <w:p w14:paraId="12F5994C">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11</w:t>
            </w:r>
          </w:p>
        </w:tc>
        <w:tc>
          <w:tcPr>
            <w:tcW w:w="1105" w:type="dxa"/>
            <w:gridSpan w:val="2"/>
            <w:tcBorders>
              <w:bottom w:val="single" w:color="auto" w:sz="4" w:space="0"/>
            </w:tcBorders>
            <w:shd w:val="clear" w:color="auto" w:fill="FFFFFF" w:themeFill="background1"/>
            <w:vAlign w:val="center"/>
          </w:tcPr>
          <w:p w14:paraId="4127092D">
            <w:pPr>
              <w:jc w:val="center"/>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原有密集架增加护坡</w:t>
            </w:r>
          </w:p>
        </w:tc>
        <w:tc>
          <w:tcPr>
            <w:tcW w:w="855" w:type="dxa"/>
            <w:tcBorders>
              <w:bottom w:val="single" w:color="auto" w:sz="4" w:space="0"/>
            </w:tcBorders>
            <w:vAlign w:val="center"/>
          </w:tcPr>
          <w:p w14:paraId="5A9DC6A4">
            <w:pPr>
              <w:rPr>
                <w:rFonts w:hint="eastAsia" w:ascii="宋体" w:hAnsi="宋体" w:eastAsia="宋体" w:cs="宋体"/>
                <w:b w:val="0"/>
                <w:bCs w:val="0"/>
                <w:color w:val="auto"/>
                <w:sz w:val="21"/>
                <w:szCs w:val="21"/>
              </w:rPr>
            </w:pPr>
          </w:p>
        </w:tc>
        <w:tc>
          <w:tcPr>
            <w:tcW w:w="6690" w:type="dxa"/>
            <w:tcBorders>
              <w:bottom w:val="single" w:color="auto" w:sz="4" w:space="0"/>
            </w:tcBorders>
          </w:tcPr>
          <w:p w14:paraId="4ABE88F0">
            <w:pPr>
              <w:bidi w:val="0"/>
              <w:rPr>
                <w:rFonts w:hint="eastAsia" w:ascii="宋体" w:hAnsi="宋体" w:eastAsia="宋体" w:cs="宋体"/>
                <w:b w:val="0"/>
                <w:bCs w:val="0"/>
                <w:color w:val="auto"/>
                <w:sz w:val="21"/>
                <w:szCs w:val="21"/>
                <w:lang w:val="en-US" w:eastAsia="zh-CN"/>
              </w:rPr>
            </w:pPr>
            <w:r>
              <w:rPr>
                <w:rFonts w:hint="eastAsia" w:ascii="宋体" w:hAnsi="宋体" w:eastAsia="宋体" w:cs="宋体"/>
                <w:color w:val="auto"/>
                <w:sz w:val="21"/>
                <w:szCs w:val="21"/>
                <w:vertAlign w:val="baseline"/>
                <w:lang w:val="en-US" w:eastAsia="zh-CN"/>
              </w:rPr>
              <w:t>1.0厚冷轧钢板</w:t>
            </w:r>
          </w:p>
        </w:tc>
        <w:tc>
          <w:tcPr>
            <w:tcW w:w="525" w:type="dxa"/>
            <w:tcBorders>
              <w:bottom w:val="single" w:color="auto" w:sz="4" w:space="0"/>
            </w:tcBorders>
            <w:shd w:val="clear" w:color="auto" w:fill="FFFFFF" w:themeFill="background1"/>
            <w:vAlign w:val="center"/>
          </w:tcPr>
          <w:p w14:paraId="0FF1359F">
            <w:pPr>
              <w:jc w:val="center"/>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米</w:t>
            </w:r>
          </w:p>
        </w:tc>
        <w:tc>
          <w:tcPr>
            <w:tcW w:w="600" w:type="dxa"/>
            <w:tcBorders>
              <w:bottom w:val="single" w:color="auto" w:sz="4" w:space="0"/>
            </w:tcBorders>
            <w:shd w:val="clear" w:color="auto" w:fill="FFFFFF" w:themeFill="background1"/>
            <w:vAlign w:val="center"/>
          </w:tcPr>
          <w:p w14:paraId="19E36863">
            <w:pPr>
              <w:jc w:val="center"/>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145</w:t>
            </w:r>
          </w:p>
        </w:tc>
        <w:tc>
          <w:tcPr>
            <w:tcW w:w="825" w:type="dxa"/>
            <w:tcBorders>
              <w:bottom w:val="single" w:color="auto" w:sz="4" w:space="0"/>
            </w:tcBorders>
            <w:vAlign w:val="center"/>
          </w:tcPr>
          <w:p w14:paraId="59AEF0C2">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color w:val="auto"/>
                <w:sz w:val="21"/>
                <w:szCs w:val="21"/>
                <w:vertAlign w:val="baseline"/>
                <w:lang w:val="en-US" w:eastAsia="zh-CN"/>
              </w:rPr>
              <w:t>60</w:t>
            </w:r>
          </w:p>
        </w:tc>
        <w:tc>
          <w:tcPr>
            <w:tcW w:w="855" w:type="dxa"/>
            <w:tcBorders>
              <w:bottom w:val="single" w:color="auto" w:sz="4" w:space="0"/>
            </w:tcBorders>
            <w:shd w:val="clear" w:color="auto" w:fill="FFFFFF" w:themeFill="background1"/>
            <w:vAlign w:val="center"/>
          </w:tcPr>
          <w:p w14:paraId="7C280F50">
            <w:pPr>
              <w:jc w:val="center"/>
              <w:rPr>
                <w:rFonts w:hint="eastAsia" w:ascii="宋体" w:hAnsi="宋体" w:eastAsia="宋体" w:cs="宋体"/>
                <w:color w:val="auto"/>
                <w:kern w:val="2"/>
                <w:sz w:val="21"/>
                <w:szCs w:val="21"/>
                <w:vertAlign w:val="baseline"/>
                <w:lang w:val="en-US" w:eastAsia="zh-CN" w:bidi="ar-SA"/>
              </w:rPr>
            </w:pPr>
            <w:r>
              <w:rPr>
                <w:rFonts w:hint="eastAsia" w:ascii="宋体" w:hAnsi="宋体" w:eastAsia="宋体" w:cs="宋体"/>
                <w:color w:val="auto"/>
                <w:sz w:val="21"/>
                <w:szCs w:val="21"/>
                <w:vertAlign w:val="baseline"/>
                <w:lang w:val="en-US" w:eastAsia="zh-CN"/>
              </w:rPr>
              <w:t>8700</w:t>
            </w:r>
          </w:p>
        </w:tc>
        <w:tc>
          <w:tcPr>
            <w:tcW w:w="735" w:type="dxa"/>
            <w:tcBorders>
              <w:bottom w:val="single" w:color="auto" w:sz="4" w:space="0"/>
            </w:tcBorders>
            <w:vAlign w:val="center"/>
          </w:tcPr>
          <w:p w14:paraId="1F56E2AA">
            <w:pPr>
              <w:jc w:val="center"/>
              <w:rPr>
                <w:rFonts w:hint="eastAsia" w:ascii="宋体" w:hAnsi="宋体" w:eastAsia="宋体" w:cs="宋体"/>
                <w:b w:val="0"/>
                <w:bCs w:val="0"/>
                <w:color w:val="auto"/>
                <w:sz w:val="21"/>
                <w:szCs w:val="21"/>
                <w:lang w:val="en-US" w:eastAsia="zh-CN"/>
              </w:rPr>
            </w:pPr>
          </w:p>
        </w:tc>
        <w:tc>
          <w:tcPr>
            <w:tcW w:w="1050" w:type="dxa"/>
            <w:tcBorders>
              <w:bottom w:val="single" w:color="auto" w:sz="4" w:space="0"/>
            </w:tcBorders>
            <w:vAlign w:val="center"/>
          </w:tcPr>
          <w:p w14:paraId="44934217">
            <w:pPr>
              <w:jc w:val="center"/>
              <w:rPr>
                <w:rFonts w:hint="eastAsia" w:ascii="宋体" w:hAnsi="宋体" w:eastAsia="宋体" w:cs="宋体"/>
                <w:b w:val="0"/>
                <w:bCs w:val="0"/>
                <w:color w:val="auto"/>
                <w:sz w:val="21"/>
                <w:szCs w:val="21"/>
                <w:lang w:val="en-US" w:eastAsia="zh-CN"/>
              </w:rPr>
            </w:pPr>
          </w:p>
        </w:tc>
        <w:tc>
          <w:tcPr>
            <w:tcW w:w="750" w:type="dxa"/>
            <w:tcBorders>
              <w:bottom w:val="single" w:color="auto" w:sz="4" w:space="0"/>
            </w:tcBorders>
            <w:vAlign w:val="center"/>
          </w:tcPr>
          <w:p w14:paraId="2AC24092">
            <w:pPr>
              <w:jc w:val="center"/>
              <w:rPr>
                <w:rFonts w:hint="eastAsia" w:ascii="宋体" w:hAnsi="宋体" w:eastAsia="宋体" w:cs="宋体"/>
                <w:b w:val="0"/>
                <w:bCs w:val="0"/>
                <w:color w:val="auto"/>
                <w:sz w:val="21"/>
                <w:szCs w:val="21"/>
                <w:u w:val="single"/>
              </w:rPr>
            </w:pPr>
          </w:p>
        </w:tc>
      </w:tr>
      <w:tr w14:paraId="6937A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tcBorders>
              <w:top w:val="single" w:color="auto" w:sz="4" w:space="0"/>
              <w:left w:val="single" w:color="auto" w:sz="4" w:space="0"/>
              <w:bottom w:val="single" w:color="auto" w:sz="4" w:space="0"/>
            </w:tcBorders>
            <w:vAlign w:val="center"/>
          </w:tcPr>
          <w:p w14:paraId="36A8732E">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12</w:t>
            </w:r>
          </w:p>
        </w:tc>
        <w:tc>
          <w:tcPr>
            <w:tcW w:w="1105" w:type="dxa"/>
            <w:gridSpan w:val="2"/>
            <w:tcBorders>
              <w:top w:val="single" w:color="auto" w:sz="4" w:space="0"/>
              <w:bottom w:val="single" w:color="auto" w:sz="4" w:space="0"/>
            </w:tcBorders>
            <w:vAlign w:val="center"/>
          </w:tcPr>
          <w:p w14:paraId="1D0D4D77">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0"/>
                <w:sz w:val="21"/>
                <w:szCs w:val="21"/>
                <w:highlight w:val="none"/>
              </w:rPr>
              <w:t>普通档案推车</w:t>
            </w:r>
          </w:p>
        </w:tc>
        <w:tc>
          <w:tcPr>
            <w:tcW w:w="855" w:type="dxa"/>
            <w:tcBorders>
              <w:top w:val="single" w:color="auto" w:sz="4" w:space="0"/>
              <w:bottom w:val="single" w:color="auto" w:sz="4" w:space="0"/>
            </w:tcBorders>
            <w:vAlign w:val="center"/>
          </w:tcPr>
          <w:p w14:paraId="79A8576E">
            <w:pPr>
              <w:rPr>
                <w:rFonts w:hint="default" w:ascii="宋体" w:hAnsi="宋体" w:eastAsia="宋体" w:cs="宋体"/>
                <w:b w:val="0"/>
                <w:bCs w:val="0"/>
                <w:color w:val="auto"/>
                <w:sz w:val="21"/>
                <w:szCs w:val="21"/>
                <w:lang w:val="en-US"/>
              </w:rPr>
            </w:pPr>
            <w:r>
              <w:rPr>
                <w:rFonts w:hint="eastAsia" w:ascii="宋体" w:hAnsi="宋体" w:eastAsia="宋体" w:cs="宋体"/>
                <w:b w:val="0"/>
                <w:bCs w:val="0"/>
                <w:color w:val="auto"/>
                <w:spacing w:val="8"/>
                <w:sz w:val="21"/>
                <w:szCs w:val="21"/>
                <w:lang w:val="en-US" w:eastAsia="zh-CN"/>
              </w:rPr>
              <w:t>美科、阳光、昆仑或同等品牌</w:t>
            </w:r>
          </w:p>
        </w:tc>
        <w:tc>
          <w:tcPr>
            <w:tcW w:w="6690" w:type="dxa"/>
            <w:tcBorders>
              <w:top w:val="single" w:color="auto" w:sz="4" w:space="0"/>
              <w:bottom w:val="single" w:color="auto" w:sz="4" w:space="0"/>
            </w:tcBorders>
          </w:tcPr>
          <w:p w14:paraId="5075ED68">
            <w:pPr>
              <w:keepNext w:val="0"/>
              <w:keepLines w:val="0"/>
              <w:pageBreakBefore w:val="0"/>
              <w:widowControl w:val="0"/>
              <w:kinsoku/>
              <w:wordWrap/>
              <w:overflowPunct/>
              <w:topLinePunct w:val="0"/>
              <w:autoSpaceDE/>
              <w:autoSpaceDN/>
              <w:bidi w:val="0"/>
              <w:adjustRightInd/>
              <w:snapToGrid/>
              <w:spacing w:line="240" w:lineRule="atLeast"/>
              <w:ind w:firstLine="452"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pacing w:val="8"/>
                <w:sz w:val="21"/>
                <w:szCs w:val="21"/>
                <w:lang w:val="en-US" w:eastAsia="zh-CN"/>
              </w:rPr>
              <w:t>书车层板0.7mm厚的优质冷轧钢板折弯成型、表面冲凸防滑处理，整体框架采用20*20*1.1mm钢管弯制、焊接而成，车轮采用万向超静音轮。</w:t>
            </w:r>
          </w:p>
        </w:tc>
        <w:tc>
          <w:tcPr>
            <w:tcW w:w="525" w:type="dxa"/>
            <w:tcBorders>
              <w:top w:val="single" w:color="auto" w:sz="4" w:space="0"/>
              <w:bottom w:val="single" w:color="auto" w:sz="4" w:space="0"/>
            </w:tcBorders>
            <w:vAlign w:val="center"/>
          </w:tcPr>
          <w:p w14:paraId="277C40EF">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辆</w:t>
            </w:r>
          </w:p>
        </w:tc>
        <w:tc>
          <w:tcPr>
            <w:tcW w:w="600" w:type="dxa"/>
            <w:tcBorders>
              <w:top w:val="single" w:color="auto" w:sz="4" w:space="0"/>
              <w:bottom w:val="single" w:color="auto" w:sz="4" w:space="0"/>
            </w:tcBorders>
            <w:vAlign w:val="center"/>
          </w:tcPr>
          <w:p w14:paraId="5BE4007D">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w:t>
            </w:r>
          </w:p>
        </w:tc>
        <w:tc>
          <w:tcPr>
            <w:tcW w:w="825" w:type="dxa"/>
            <w:tcBorders>
              <w:top w:val="single" w:color="auto" w:sz="4" w:space="0"/>
              <w:bottom w:val="single" w:color="auto" w:sz="4" w:space="0"/>
            </w:tcBorders>
            <w:vAlign w:val="center"/>
          </w:tcPr>
          <w:p w14:paraId="55C8CE8B">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500</w:t>
            </w:r>
          </w:p>
        </w:tc>
        <w:tc>
          <w:tcPr>
            <w:tcW w:w="855" w:type="dxa"/>
            <w:tcBorders>
              <w:top w:val="single" w:color="auto" w:sz="4" w:space="0"/>
              <w:bottom w:val="single" w:color="auto" w:sz="4" w:space="0"/>
            </w:tcBorders>
            <w:vAlign w:val="center"/>
          </w:tcPr>
          <w:p w14:paraId="6A8E32F5">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2500</w:t>
            </w:r>
          </w:p>
        </w:tc>
        <w:tc>
          <w:tcPr>
            <w:tcW w:w="735" w:type="dxa"/>
            <w:tcBorders>
              <w:top w:val="single" w:color="auto" w:sz="4" w:space="0"/>
              <w:bottom w:val="single" w:color="auto" w:sz="4" w:space="0"/>
            </w:tcBorders>
            <w:vAlign w:val="center"/>
          </w:tcPr>
          <w:p w14:paraId="4F997001">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否</w:t>
            </w:r>
          </w:p>
        </w:tc>
        <w:tc>
          <w:tcPr>
            <w:tcW w:w="1050" w:type="dxa"/>
            <w:tcBorders>
              <w:top w:val="single" w:color="auto" w:sz="4" w:space="0"/>
              <w:bottom w:val="single" w:color="auto" w:sz="4" w:space="0"/>
            </w:tcBorders>
            <w:vAlign w:val="center"/>
          </w:tcPr>
          <w:p w14:paraId="530BE879">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drawing>
                <wp:inline distT="0" distB="0" distL="114300" distR="114300">
                  <wp:extent cx="386715" cy="689610"/>
                  <wp:effectExtent l="0" t="0" r="13335" b="15240"/>
                  <wp:docPr id="6" name="图片 6" descr="61cd3614a67d97649815dac4bfdc0c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61cd3614a67d97649815dac4bfdc0cf3"/>
                          <pic:cNvPicPr>
                            <a:picLocks noChangeAspect="1"/>
                          </pic:cNvPicPr>
                        </pic:nvPicPr>
                        <pic:blipFill>
                          <a:blip r:embed="rId12"/>
                          <a:stretch>
                            <a:fillRect/>
                          </a:stretch>
                        </pic:blipFill>
                        <pic:spPr>
                          <a:xfrm>
                            <a:off x="0" y="0"/>
                            <a:ext cx="386715" cy="689610"/>
                          </a:xfrm>
                          <a:prstGeom prst="rect">
                            <a:avLst/>
                          </a:prstGeom>
                        </pic:spPr>
                      </pic:pic>
                    </a:graphicData>
                  </a:graphic>
                </wp:inline>
              </w:drawing>
            </w:r>
          </w:p>
        </w:tc>
        <w:tc>
          <w:tcPr>
            <w:tcW w:w="750" w:type="dxa"/>
            <w:tcBorders>
              <w:top w:val="single" w:color="auto" w:sz="4" w:space="0"/>
              <w:bottom w:val="single" w:color="auto" w:sz="4" w:space="0"/>
              <w:right w:val="single" w:color="auto" w:sz="4" w:space="0"/>
            </w:tcBorders>
            <w:vAlign w:val="center"/>
          </w:tcPr>
          <w:p w14:paraId="137A363C">
            <w:pPr>
              <w:jc w:val="center"/>
              <w:rPr>
                <w:rFonts w:hint="eastAsia" w:ascii="宋体" w:hAnsi="宋体" w:eastAsia="宋体" w:cs="宋体"/>
                <w:b w:val="0"/>
                <w:bCs w:val="0"/>
                <w:color w:val="auto"/>
                <w:sz w:val="21"/>
                <w:szCs w:val="21"/>
                <w:u w:val="single"/>
              </w:rPr>
            </w:pPr>
          </w:p>
        </w:tc>
      </w:tr>
      <w:tr w14:paraId="3293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tcBorders>
              <w:top w:val="single" w:color="auto" w:sz="4" w:space="0"/>
            </w:tcBorders>
            <w:vAlign w:val="center"/>
          </w:tcPr>
          <w:p w14:paraId="3D8E49D5">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13</w:t>
            </w:r>
          </w:p>
        </w:tc>
        <w:tc>
          <w:tcPr>
            <w:tcW w:w="1105" w:type="dxa"/>
            <w:gridSpan w:val="2"/>
            <w:tcBorders>
              <w:top w:val="single" w:color="auto" w:sz="4" w:space="0"/>
            </w:tcBorders>
            <w:vAlign w:val="center"/>
          </w:tcPr>
          <w:p w14:paraId="55961BA2">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kern w:val="0"/>
                <w:sz w:val="21"/>
                <w:szCs w:val="21"/>
                <w:highlight w:val="none"/>
              </w:rPr>
              <w:t>档案梯</w:t>
            </w:r>
          </w:p>
        </w:tc>
        <w:tc>
          <w:tcPr>
            <w:tcW w:w="855" w:type="dxa"/>
            <w:tcBorders>
              <w:top w:val="single" w:color="auto" w:sz="4" w:space="0"/>
            </w:tcBorders>
            <w:vAlign w:val="center"/>
          </w:tcPr>
          <w:p w14:paraId="7488E3FC">
            <w:pPr>
              <w:rPr>
                <w:rFonts w:hint="eastAsia" w:ascii="宋体" w:hAnsi="宋体" w:eastAsia="宋体" w:cs="宋体"/>
                <w:b w:val="0"/>
                <w:bCs w:val="0"/>
                <w:color w:val="auto"/>
                <w:sz w:val="21"/>
                <w:szCs w:val="21"/>
              </w:rPr>
            </w:pPr>
            <w:r>
              <w:rPr>
                <w:rFonts w:hint="eastAsia" w:ascii="宋体" w:hAnsi="宋体" w:eastAsia="宋体" w:cs="宋体"/>
                <w:b w:val="0"/>
                <w:bCs w:val="0"/>
                <w:color w:val="auto"/>
                <w:spacing w:val="8"/>
                <w:sz w:val="21"/>
                <w:szCs w:val="21"/>
                <w:lang w:val="en-US" w:eastAsia="zh-CN"/>
              </w:rPr>
              <w:t>美科、阳光、昆仑或同等品牌</w:t>
            </w:r>
          </w:p>
        </w:tc>
        <w:tc>
          <w:tcPr>
            <w:tcW w:w="6690" w:type="dxa"/>
            <w:tcBorders>
              <w:top w:val="single" w:color="auto" w:sz="4" w:space="0"/>
            </w:tcBorders>
          </w:tcPr>
          <w:p w14:paraId="3EAFFBC4">
            <w:pPr>
              <w:bidi w:val="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pacing w:val="8"/>
                <w:sz w:val="21"/>
                <w:szCs w:val="21"/>
                <w:lang w:val="en-US" w:eastAsia="zh-CN"/>
              </w:rPr>
              <w:t>书梯踏板采用0.7mm厚的优质冷轧钢板折弯成型、表面冲凸防滑处理，整体框架采用20*20*1.1mm钢管弯制、焊接而成，车轮采用万向超静音轮。静电喷塑工艺：钢质部件采用乳化剂和碱性助剂，磷酸除锈、锌系薄膜型磷化、钝化，亚光热固性环氧聚酯粉末，高温固化（塑粉为灰色、喷涂厚度0.025～0.03mm、硬度≧0.4mm、冲击强度≧3.92J略剥落、裂纹或皱纹等、附着力一级、光泽度≧65%、耐腐蚀耐盐水24H，不锈蚀、不鼓泡、不裂。）工艺结构要求：磷化处理、静电喷塑，要求表面喷涂均匀、光滑、略裂痕、不摇晃。</w:t>
            </w:r>
          </w:p>
        </w:tc>
        <w:tc>
          <w:tcPr>
            <w:tcW w:w="525" w:type="dxa"/>
            <w:tcBorders>
              <w:top w:val="single" w:color="auto" w:sz="4" w:space="0"/>
            </w:tcBorders>
            <w:vAlign w:val="center"/>
          </w:tcPr>
          <w:p w14:paraId="62ADA745">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辆</w:t>
            </w:r>
          </w:p>
        </w:tc>
        <w:tc>
          <w:tcPr>
            <w:tcW w:w="600" w:type="dxa"/>
            <w:tcBorders>
              <w:top w:val="single" w:color="auto" w:sz="4" w:space="0"/>
            </w:tcBorders>
            <w:vAlign w:val="center"/>
          </w:tcPr>
          <w:p w14:paraId="6800480D">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10</w:t>
            </w:r>
          </w:p>
        </w:tc>
        <w:tc>
          <w:tcPr>
            <w:tcW w:w="825" w:type="dxa"/>
            <w:tcBorders>
              <w:top w:val="single" w:color="auto" w:sz="4" w:space="0"/>
            </w:tcBorders>
            <w:vAlign w:val="center"/>
          </w:tcPr>
          <w:p w14:paraId="499CC812">
            <w:pPr>
              <w:jc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514</w:t>
            </w:r>
          </w:p>
        </w:tc>
        <w:tc>
          <w:tcPr>
            <w:tcW w:w="855" w:type="dxa"/>
            <w:tcBorders>
              <w:top w:val="single" w:color="auto" w:sz="4" w:space="0"/>
            </w:tcBorders>
            <w:vAlign w:val="center"/>
          </w:tcPr>
          <w:p w14:paraId="4E39A50F">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5140</w:t>
            </w:r>
          </w:p>
        </w:tc>
        <w:tc>
          <w:tcPr>
            <w:tcW w:w="735" w:type="dxa"/>
            <w:tcBorders>
              <w:top w:val="single" w:color="auto" w:sz="4" w:space="0"/>
            </w:tcBorders>
            <w:vAlign w:val="center"/>
          </w:tcPr>
          <w:p w14:paraId="19CDF44E">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否</w:t>
            </w:r>
          </w:p>
        </w:tc>
        <w:tc>
          <w:tcPr>
            <w:tcW w:w="1050" w:type="dxa"/>
            <w:tcBorders>
              <w:top w:val="single" w:color="auto" w:sz="4" w:space="0"/>
            </w:tcBorders>
            <w:vAlign w:val="center"/>
          </w:tcPr>
          <w:p w14:paraId="00E5E74D">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drawing>
                <wp:inline distT="0" distB="0" distL="114300" distR="114300">
                  <wp:extent cx="695325" cy="976630"/>
                  <wp:effectExtent l="0" t="0" r="9525" b="13970"/>
                  <wp:docPr id="1" name="图片 1" descr="ae1481fca5670c4d1703522fb6a49b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e1481fca5670c4d1703522fb6a49b1e"/>
                          <pic:cNvPicPr>
                            <a:picLocks noChangeAspect="1"/>
                          </pic:cNvPicPr>
                        </pic:nvPicPr>
                        <pic:blipFill>
                          <a:blip r:embed="rId13"/>
                          <a:stretch>
                            <a:fillRect/>
                          </a:stretch>
                        </pic:blipFill>
                        <pic:spPr>
                          <a:xfrm>
                            <a:off x="0" y="0"/>
                            <a:ext cx="695325" cy="976630"/>
                          </a:xfrm>
                          <a:prstGeom prst="rect">
                            <a:avLst/>
                          </a:prstGeom>
                        </pic:spPr>
                      </pic:pic>
                    </a:graphicData>
                  </a:graphic>
                </wp:inline>
              </w:drawing>
            </w:r>
          </w:p>
        </w:tc>
        <w:tc>
          <w:tcPr>
            <w:tcW w:w="750" w:type="dxa"/>
            <w:tcBorders>
              <w:top w:val="single" w:color="auto" w:sz="4" w:space="0"/>
            </w:tcBorders>
            <w:vAlign w:val="center"/>
          </w:tcPr>
          <w:p w14:paraId="629E1AAC">
            <w:pPr>
              <w:jc w:val="center"/>
              <w:rPr>
                <w:rFonts w:hint="eastAsia" w:ascii="宋体" w:hAnsi="宋体" w:eastAsia="宋体" w:cs="宋体"/>
                <w:b w:val="0"/>
                <w:bCs w:val="0"/>
                <w:color w:val="auto"/>
                <w:sz w:val="21"/>
                <w:szCs w:val="21"/>
                <w:u w:val="single"/>
              </w:rPr>
            </w:pPr>
          </w:p>
        </w:tc>
      </w:tr>
      <w:tr w14:paraId="0476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14:paraId="673C17E2">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14</w:t>
            </w:r>
          </w:p>
        </w:tc>
        <w:tc>
          <w:tcPr>
            <w:tcW w:w="1105" w:type="dxa"/>
            <w:gridSpan w:val="2"/>
            <w:vAlign w:val="center"/>
          </w:tcPr>
          <w:p w14:paraId="7FD9A886">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智能页码机</w:t>
            </w:r>
          </w:p>
        </w:tc>
        <w:tc>
          <w:tcPr>
            <w:tcW w:w="855" w:type="dxa"/>
            <w:vAlign w:val="center"/>
          </w:tcPr>
          <w:p w14:paraId="29A7CFB7">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美松达、</w:t>
            </w:r>
            <w:r>
              <w:rPr>
                <w:rFonts w:hint="eastAsia" w:ascii="宋体" w:hAnsi="宋体" w:eastAsia="宋体" w:cs="宋体"/>
                <w:b w:val="0"/>
                <w:bCs w:val="0"/>
                <w:color w:val="auto"/>
                <w:sz w:val="21"/>
                <w:szCs w:val="21"/>
              </w:rPr>
              <w:t>骏驰宇</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御泰</w:t>
            </w:r>
            <w:r>
              <w:rPr>
                <w:rFonts w:hint="eastAsia" w:ascii="宋体" w:hAnsi="宋体" w:eastAsia="宋体" w:cs="宋体"/>
                <w:b w:val="0"/>
                <w:bCs w:val="0"/>
                <w:color w:val="auto"/>
                <w:spacing w:val="8"/>
                <w:sz w:val="21"/>
                <w:szCs w:val="21"/>
                <w:lang w:val="en-US" w:eastAsia="zh-CN"/>
              </w:rPr>
              <w:t>或同等品牌</w:t>
            </w:r>
          </w:p>
        </w:tc>
        <w:tc>
          <w:tcPr>
            <w:tcW w:w="6690" w:type="dxa"/>
          </w:tcPr>
          <w:p w14:paraId="35753F5F">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1.档案文档纸质材料，A4纸张，A3纸张，A4信笺纸，标准A4+票据粘贴，标准A4+牛皮纸贴等均可。</w:t>
            </w:r>
          </w:p>
          <w:p w14:paraId="1CD6EC2C">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2.打印速度:≥90页/分钟，≥180面/分钟</w:t>
            </w:r>
          </w:p>
          <w:p w14:paraId="1F1BED07">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3.打码厚度：0≤p≤30mm</w:t>
            </w:r>
          </w:p>
          <w:p w14:paraId="395B5BD5">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4.支持页码打印,支持可视化模板(LW)调节。</w:t>
            </w:r>
          </w:p>
          <w:p w14:paraId="4CE4AD04">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号码清零，页数统计，总计数</w:t>
            </w:r>
          </w:p>
          <w:p w14:paraId="781FA9D1">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5.可自定义字体大小，字体粗细，打印起始号，一键清零</w:t>
            </w:r>
          </w:p>
          <w:p w14:paraId="4841C64A">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6.页码印制位置任意调整;可在软件上调节，不需要拆机</w:t>
            </w:r>
          </w:p>
          <w:p w14:paraId="2A5794F1">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7.打印位数:0--99999;位数可以选择，可以补零或者不补零</w:t>
            </w:r>
          </w:p>
          <w:p w14:paraId="72DB520D">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8.支持双面打印/单面打印/智能模式打印:</w:t>
            </w:r>
          </w:p>
          <w:p w14:paraId="27A68302">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9.高精度CIS检测系统，可精准判断纸张是否需要打码，实现有字打码，无字顺延打码，配备多个传感器在精准打码的同时，可实现对卡纸、重张、等非正常</w:t>
            </w:r>
          </w:p>
          <w:p w14:paraId="1B3371F6">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状态及时停机报警。"</w:t>
            </w:r>
          </w:p>
          <w:p w14:paraId="1B7F6FA7">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10.采用走纸直通道，可完全适用于翘边、褶皱等文件编码。如文件粘有票据有装订孔等特殊性纸张也可进行页码编辑打码</w:t>
            </w:r>
          </w:p>
          <w:p w14:paraId="3155EF94">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11.走纸采用多个高性能步进电机，响应更敏，走纸稳定，AI打码，AI人工干预选择;纸张自动学习记忆功能;支持重张报警功能)</w:t>
            </w:r>
          </w:p>
          <w:p w14:paraId="0F22C0FA">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12.纸张容量:100(max)页;</w:t>
            </w:r>
          </w:p>
          <w:p w14:paraId="3D71DC7B">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13.进纸口宽度：≥298mm</w:t>
            </w:r>
          </w:p>
          <w:p w14:paraId="78628DED">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14、内置工作日志计数功能，实时效验;</w:t>
            </w:r>
          </w:p>
          <w:p w14:paraId="3ECCFB2C">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15、专用的页码印刷系统;3C,节能证书</w:t>
            </w:r>
          </w:p>
          <w:p w14:paraId="499E69A0">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16、识别字体:支持包括但不限于宋、仿宋、黑体、楷体等字体的识别。</w:t>
            </w:r>
          </w:p>
          <w:p w14:paraId="5327068C">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17.智能、彩色、10.1英寸触摸工业控制器;</w:t>
            </w:r>
          </w:p>
          <w:p w14:paraId="0BF4BA36">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18.墨盒：采用47ml大容量水性墨盒</w:t>
            </w:r>
          </w:p>
          <w:p w14:paraId="552E0852">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19.工作时长：可连续工作24小时</w:t>
            </w:r>
          </w:p>
          <w:p w14:paraId="093E5A71">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20.电源：220V±5%、50Hz</w:t>
            </w:r>
          </w:p>
          <w:p w14:paraId="1D786D28">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21.工作电压：≤24V（安全电压）</w:t>
            </w:r>
          </w:p>
          <w:p w14:paraId="4E3C11D3">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22.整机功率：非工作状态P≤20w</w:t>
            </w:r>
          </w:p>
          <w:p w14:paraId="7FE93D7D">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23.整机重量：50kg</w:t>
            </w:r>
          </w:p>
          <w:p w14:paraId="5B3E96C6">
            <w:pPr>
              <w:jc w:val="left"/>
              <w:rPr>
                <w:rFonts w:hint="eastAsia" w:ascii="宋体" w:hAnsi="宋体" w:eastAsia="宋体" w:cs="宋体"/>
                <w:b w:val="0"/>
                <w:bCs w:val="0"/>
                <w:color w:val="auto"/>
                <w:spacing w:val="8"/>
                <w:sz w:val="21"/>
                <w:szCs w:val="21"/>
              </w:rPr>
            </w:pPr>
            <w:r>
              <w:rPr>
                <w:rFonts w:hint="eastAsia" w:ascii="宋体" w:hAnsi="宋体" w:eastAsia="宋体" w:cs="宋体"/>
                <w:b w:val="0"/>
                <w:bCs w:val="0"/>
                <w:color w:val="auto"/>
                <w:spacing w:val="8"/>
                <w:sz w:val="21"/>
                <w:szCs w:val="21"/>
              </w:rPr>
              <w:t>24、外形尺寸：：732mm长x419mm宽x569mm</w:t>
            </w:r>
          </w:p>
          <w:p w14:paraId="7834653F">
            <w:pPr>
              <w:bidi w:val="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pacing w:val="8"/>
                <w:sz w:val="21"/>
                <w:szCs w:val="21"/>
              </w:rPr>
              <w:t>25.系统扩展性：支持系统升级，可接入图像处理系统及数字化加工系统，实现无缝升级。</w:t>
            </w:r>
          </w:p>
        </w:tc>
        <w:tc>
          <w:tcPr>
            <w:tcW w:w="525" w:type="dxa"/>
            <w:vAlign w:val="center"/>
          </w:tcPr>
          <w:p w14:paraId="2C38EC1F">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台</w:t>
            </w:r>
          </w:p>
        </w:tc>
        <w:tc>
          <w:tcPr>
            <w:tcW w:w="600" w:type="dxa"/>
            <w:vAlign w:val="center"/>
          </w:tcPr>
          <w:p w14:paraId="04BD49CD">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w:t>
            </w:r>
          </w:p>
        </w:tc>
        <w:tc>
          <w:tcPr>
            <w:tcW w:w="825" w:type="dxa"/>
            <w:vAlign w:val="center"/>
          </w:tcPr>
          <w:p w14:paraId="21AEA554">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80000</w:t>
            </w:r>
          </w:p>
        </w:tc>
        <w:tc>
          <w:tcPr>
            <w:tcW w:w="855" w:type="dxa"/>
            <w:vAlign w:val="center"/>
          </w:tcPr>
          <w:p w14:paraId="31146D93">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80000</w:t>
            </w:r>
          </w:p>
        </w:tc>
        <w:tc>
          <w:tcPr>
            <w:tcW w:w="735" w:type="dxa"/>
            <w:vAlign w:val="center"/>
          </w:tcPr>
          <w:p w14:paraId="393364E5">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否</w:t>
            </w:r>
          </w:p>
        </w:tc>
        <w:tc>
          <w:tcPr>
            <w:tcW w:w="1050" w:type="dxa"/>
            <w:vAlign w:val="center"/>
          </w:tcPr>
          <w:p w14:paraId="08849E74">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rPr>
              <w:drawing>
                <wp:inline distT="0" distB="0" distL="114300" distR="114300">
                  <wp:extent cx="729615" cy="487045"/>
                  <wp:effectExtent l="0" t="0" r="13335" b="8255"/>
                  <wp:docPr id="9" name="图片 3" descr="72fa37192a11a604a6c94e8f65ca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72fa37192a11a604a6c94e8f65cad19"/>
                          <pic:cNvPicPr>
                            <a:picLocks noChangeAspect="1"/>
                          </pic:cNvPicPr>
                        </pic:nvPicPr>
                        <pic:blipFill>
                          <a:blip r:embed="rId14"/>
                          <a:stretch>
                            <a:fillRect/>
                          </a:stretch>
                        </pic:blipFill>
                        <pic:spPr>
                          <a:xfrm>
                            <a:off x="0" y="0"/>
                            <a:ext cx="729615" cy="487045"/>
                          </a:xfrm>
                          <a:prstGeom prst="rect">
                            <a:avLst/>
                          </a:prstGeom>
                          <a:noFill/>
                          <a:ln w="9525">
                            <a:noFill/>
                          </a:ln>
                        </pic:spPr>
                      </pic:pic>
                    </a:graphicData>
                  </a:graphic>
                </wp:inline>
              </w:drawing>
            </w:r>
          </w:p>
        </w:tc>
        <w:tc>
          <w:tcPr>
            <w:tcW w:w="750" w:type="dxa"/>
            <w:vAlign w:val="center"/>
          </w:tcPr>
          <w:p w14:paraId="2A6D9297">
            <w:pPr>
              <w:jc w:val="center"/>
              <w:rPr>
                <w:rFonts w:hint="eastAsia" w:ascii="宋体" w:hAnsi="宋体" w:eastAsia="宋体" w:cs="宋体"/>
                <w:b w:val="0"/>
                <w:bCs w:val="0"/>
                <w:color w:val="auto"/>
                <w:sz w:val="21"/>
                <w:szCs w:val="21"/>
                <w:u w:val="single"/>
              </w:rPr>
            </w:pPr>
          </w:p>
        </w:tc>
      </w:tr>
      <w:tr w14:paraId="2A711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7" w:type="dxa"/>
            <w:vAlign w:val="center"/>
          </w:tcPr>
          <w:p w14:paraId="088F85BB">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15</w:t>
            </w:r>
          </w:p>
        </w:tc>
        <w:tc>
          <w:tcPr>
            <w:tcW w:w="1105" w:type="dxa"/>
            <w:gridSpan w:val="2"/>
            <w:vAlign w:val="center"/>
          </w:tcPr>
          <w:p w14:paraId="32F6F5D1">
            <w:pPr>
              <w:jc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档案消毒柜</w:t>
            </w:r>
          </w:p>
        </w:tc>
        <w:tc>
          <w:tcPr>
            <w:tcW w:w="855" w:type="dxa"/>
            <w:vAlign w:val="center"/>
          </w:tcPr>
          <w:p w14:paraId="5A3A58F8">
            <w:pP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福诺、淳元、元图</w:t>
            </w:r>
            <w:r>
              <w:rPr>
                <w:rFonts w:hint="eastAsia" w:ascii="宋体" w:hAnsi="宋体" w:eastAsia="宋体" w:cs="宋体"/>
                <w:b w:val="0"/>
                <w:bCs w:val="0"/>
                <w:color w:val="auto"/>
                <w:spacing w:val="8"/>
                <w:sz w:val="21"/>
                <w:szCs w:val="21"/>
                <w:lang w:val="en-US" w:eastAsia="zh-CN"/>
              </w:rPr>
              <w:t>或同等品牌</w:t>
            </w:r>
          </w:p>
        </w:tc>
        <w:tc>
          <w:tcPr>
            <w:tcW w:w="6690" w:type="dxa"/>
          </w:tcPr>
          <w:p w14:paraId="1947B708">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1.</w:t>
            </w:r>
            <w:r>
              <w:rPr>
                <w:rFonts w:hint="eastAsia" w:ascii="宋体" w:hAnsi="宋体" w:eastAsia="宋体" w:cs="宋体"/>
                <w:b w:val="0"/>
                <w:bCs w:val="0"/>
                <w:color w:val="auto"/>
                <w:sz w:val="21"/>
                <w:szCs w:val="21"/>
              </w:rPr>
              <w:t>柜体双层钢板制作，单层裸板厚度为1.2mm冷轧板，全钢结构，磷化后喷塑，喷塑后柜体厚度为3.0mm以上，表面采用防静电喷塑处理，安全，美观。</w:t>
            </w:r>
          </w:p>
          <w:p w14:paraId="3B2BFD6D">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2.</w:t>
            </w:r>
            <w:r>
              <w:rPr>
                <w:rFonts w:hint="eastAsia" w:ascii="宋体" w:hAnsi="宋体" w:eastAsia="宋体" w:cs="宋体"/>
                <w:b w:val="0"/>
                <w:bCs w:val="0"/>
                <w:color w:val="auto"/>
                <w:sz w:val="21"/>
                <w:szCs w:val="21"/>
              </w:rPr>
              <w:t>能监控当前环境的温度和湿度并以数字的形式在彩屏上显示。显示屏上有独立的消毒与分解图标提示用户当前机器工作状态，并以倒计时状态显示工作进度。</w:t>
            </w:r>
          </w:p>
          <w:p w14:paraId="753F7CF7">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采用紫外线UV-C消毒和臭氧杀菌技术。紫外线灯管为4组或以上36W灯管，灯管长≥1.2米/组，臭氧模块为单独的臭氧发生器模块（分别附图证明）。</w:t>
            </w:r>
          </w:p>
          <w:p w14:paraId="05C5D588">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根据消毒书籍的满载量，所供产品可以自行设定消毒时间，消毒时间为5-90分钟可调。</w:t>
            </w:r>
          </w:p>
          <w:p w14:paraId="081BB237">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内置除尘装置，柜内≥6个风机（附图证明），柜内左右风机同步吸尘，能去除档案/图书上的灰尘并吸附到过滤网上，有效降低消毒物品中的灰尘，净化仓内环境，增强消毒效果。</w:t>
            </w:r>
          </w:p>
          <w:p w14:paraId="51B24857">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用户可选择三种不同的消毒模式：</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1</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臭氧模式；</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2</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rPr>
              <w:t>紫外线模式；</w:t>
            </w:r>
            <w:r>
              <w:rPr>
                <w:rFonts w:hint="eastAsia" w:ascii="宋体" w:hAnsi="宋体" w:eastAsia="宋体" w:cs="宋体"/>
                <w:b w:val="0"/>
                <w:bCs w:val="0"/>
                <w:color w:val="auto"/>
                <w:sz w:val="21"/>
                <w:szCs w:val="21"/>
                <w:lang w:val="en-US" w:eastAsia="zh-CN"/>
              </w:rPr>
              <w:t>（3）</w:t>
            </w:r>
            <w:r>
              <w:rPr>
                <w:rFonts w:hint="eastAsia" w:ascii="宋体" w:hAnsi="宋体" w:eastAsia="宋体" w:cs="宋体"/>
                <w:b w:val="0"/>
                <w:bCs w:val="0"/>
                <w:color w:val="auto"/>
                <w:sz w:val="21"/>
                <w:szCs w:val="21"/>
              </w:rPr>
              <w:t>臭氧与紫外线同步消毒模式。</w:t>
            </w:r>
          </w:p>
          <w:p w14:paraId="76FFD0F8">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防止在紫外线消毒过程中使用者打开消毒柜门，必须设有安全保护装置立即暂停运转，以避免紫外线对人体造成伤害。</w:t>
            </w:r>
          </w:p>
          <w:p w14:paraId="19F0E8AF">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内置可移动式推档车，推档车采用超静音脚轮，可直接由地面推入到柜体内，无需使用摆渡车，更加便捷。</w:t>
            </w:r>
          </w:p>
          <w:p w14:paraId="20D07554">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4.</w:t>
            </w:r>
            <w:r>
              <w:rPr>
                <w:rFonts w:hint="eastAsia" w:ascii="宋体" w:hAnsi="宋体" w:eastAsia="宋体" w:cs="宋体"/>
                <w:b w:val="0"/>
                <w:bCs w:val="0"/>
                <w:color w:val="auto"/>
                <w:sz w:val="21"/>
                <w:szCs w:val="21"/>
              </w:rPr>
              <w:t>所供产品的制造厂家需提供ISO9001质量管理体系认证、ISO14001环境管理体系认证和ISO45001职业健康安全管理体系认证。</w:t>
            </w:r>
          </w:p>
          <w:p w14:paraId="78F775B1">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5.</w:t>
            </w:r>
            <w:r>
              <w:rPr>
                <w:rFonts w:hint="eastAsia" w:ascii="宋体" w:hAnsi="宋体" w:eastAsia="宋体" w:cs="宋体"/>
                <w:b w:val="0"/>
                <w:bCs w:val="0"/>
                <w:color w:val="auto"/>
                <w:sz w:val="21"/>
                <w:szCs w:val="21"/>
              </w:rPr>
              <w:t>所供产品的制造厂家提供CE认证和FCC认证。</w:t>
            </w:r>
          </w:p>
          <w:p w14:paraId="2074DD7C">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6.</w:t>
            </w:r>
            <w:r>
              <w:rPr>
                <w:rFonts w:hint="eastAsia" w:ascii="宋体" w:hAnsi="宋体" w:eastAsia="宋体" w:cs="宋体"/>
                <w:b w:val="0"/>
                <w:bCs w:val="0"/>
                <w:color w:val="auto"/>
                <w:sz w:val="21"/>
                <w:szCs w:val="21"/>
              </w:rPr>
              <w:t>所供产品的制造厂家提供SGS检测机构出具的图书档案消毒的杀菌报告，包括但不限于金黄色葡萄球菌、大肠杆菌，细菌杀灭率＞99.9%（检测标准为《消毒技术规范》2002年版。</w:t>
            </w:r>
          </w:p>
          <w:p w14:paraId="5EEC3F9C">
            <w:pPr>
              <w:widowControl/>
              <w:spacing w:line="276" w:lineRule="auto"/>
              <w:jc w:val="lef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lang w:val="en-US" w:eastAsia="zh-CN"/>
              </w:rPr>
              <w:t>7.</w:t>
            </w:r>
            <w:r>
              <w:rPr>
                <w:rFonts w:hint="eastAsia" w:ascii="宋体" w:hAnsi="宋体" w:eastAsia="宋体" w:cs="宋体"/>
                <w:b w:val="0"/>
                <w:bCs w:val="0"/>
                <w:color w:val="auto"/>
                <w:sz w:val="21"/>
                <w:szCs w:val="21"/>
              </w:rPr>
              <w:t>所供产品的制造厂家提供省级微生物分析检测中心关于图书档案消毒柜臭氧浓度的报告；</w:t>
            </w:r>
          </w:p>
          <w:p w14:paraId="38E213C2">
            <w:pPr>
              <w:bidi w:val="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w:t>
            </w:r>
            <w:r>
              <w:rPr>
                <w:rFonts w:hint="eastAsia" w:ascii="宋体" w:hAnsi="宋体" w:eastAsia="宋体" w:cs="宋体"/>
                <w:b w:val="0"/>
                <w:bCs w:val="0"/>
                <w:color w:val="auto"/>
                <w:sz w:val="21"/>
                <w:szCs w:val="21"/>
              </w:rPr>
              <w:t>所供产品的制造厂家提供国家电器安全质量监督检验中心出具的图书档案消毒柜的合格检测报告（检测标准GB4706.1-2005《家用和类似用途电器的安全 第1部分：通用要求》）。</w:t>
            </w:r>
          </w:p>
        </w:tc>
        <w:tc>
          <w:tcPr>
            <w:tcW w:w="525" w:type="dxa"/>
            <w:shd w:val="clear" w:color="auto" w:fill="auto"/>
            <w:vAlign w:val="center"/>
          </w:tcPr>
          <w:p w14:paraId="094C107F">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台</w:t>
            </w:r>
          </w:p>
        </w:tc>
        <w:tc>
          <w:tcPr>
            <w:tcW w:w="600" w:type="dxa"/>
            <w:shd w:val="clear" w:color="auto" w:fill="auto"/>
            <w:vAlign w:val="center"/>
          </w:tcPr>
          <w:p w14:paraId="4AC7C336">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1</w:t>
            </w:r>
          </w:p>
        </w:tc>
        <w:tc>
          <w:tcPr>
            <w:tcW w:w="825" w:type="dxa"/>
            <w:shd w:val="clear" w:color="auto" w:fill="auto"/>
            <w:vAlign w:val="center"/>
          </w:tcPr>
          <w:p w14:paraId="428AB88B">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26000</w:t>
            </w:r>
          </w:p>
        </w:tc>
        <w:tc>
          <w:tcPr>
            <w:tcW w:w="855" w:type="dxa"/>
            <w:shd w:val="clear" w:color="auto" w:fill="auto"/>
            <w:vAlign w:val="center"/>
          </w:tcPr>
          <w:p w14:paraId="29A3F60A">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26000</w:t>
            </w:r>
          </w:p>
        </w:tc>
        <w:tc>
          <w:tcPr>
            <w:tcW w:w="735" w:type="dxa"/>
            <w:shd w:val="clear" w:color="auto" w:fill="auto"/>
            <w:vAlign w:val="center"/>
          </w:tcPr>
          <w:p w14:paraId="4CD8B440">
            <w:pPr>
              <w:jc w:val="center"/>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sz w:val="21"/>
                <w:szCs w:val="21"/>
                <w:lang w:val="en-US" w:eastAsia="zh-CN"/>
              </w:rPr>
              <w:t>否</w:t>
            </w:r>
          </w:p>
        </w:tc>
        <w:tc>
          <w:tcPr>
            <w:tcW w:w="1050" w:type="dxa"/>
            <w:vAlign w:val="center"/>
          </w:tcPr>
          <w:p w14:paraId="1B0EB538">
            <w:pPr>
              <w:jc w:val="center"/>
              <w:rPr>
                <w:rFonts w:hint="eastAsia" w:ascii="宋体" w:hAnsi="宋体" w:eastAsia="宋体" w:cs="宋体"/>
                <w:b w:val="0"/>
                <w:bCs w:val="0"/>
                <w:color w:val="auto"/>
                <w:sz w:val="21"/>
                <w:szCs w:val="21"/>
                <w:lang w:val="en-US" w:eastAsia="zh-CN"/>
              </w:rPr>
            </w:pPr>
          </w:p>
        </w:tc>
        <w:tc>
          <w:tcPr>
            <w:tcW w:w="750" w:type="dxa"/>
            <w:vAlign w:val="center"/>
          </w:tcPr>
          <w:p w14:paraId="61B4BA23">
            <w:pPr>
              <w:jc w:val="center"/>
              <w:rPr>
                <w:rFonts w:hint="eastAsia" w:ascii="宋体" w:hAnsi="宋体" w:eastAsia="宋体" w:cs="宋体"/>
                <w:b w:val="0"/>
                <w:bCs w:val="0"/>
                <w:color w:val="auto"/>
                <w:sz w:val="21"/>
                <w:szCs w:val="21"/>
                <w:u w:val="single"/>
              </w:rPr>
            </w:pPr>
          </w:p>
        </w:tc>
      </w:tr>
      <w:tr w14:paraId="2F767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2" w:hRule="atLeast"/>
        </w:trPr>
        <w:tc>
          <w:tcPr>
            <w:tcW w:w="9247" w:type="dxa"/>
            <w:gridSpan w:val="5"/>
            <w:noWrap/>
            <w:vAlign w:val="center"/>
          </w:tcPr>
          <w:p w14:paraId="5FD37248">
            <w:pPr>
              <w:rPr>
                <w:rFonts w:hint="eastAsia" w:ascii="宋体" w:hAnsi="宋体" w:eastAsia="宋体" w:cs="宋体"/>
                <w:b w:val="0"/>
                <w:bCs w:val="0"/>
                <w:color w:val="auto"/>
                <w:sz w:val="21"/>
                <w:szCs w:val="21"/>
                <w:lang w:val="en-US"/>
              </w:rPr>
            </w:pPr>
            <w:r>
              <w:rPr>
                <w:rFonts w:hint="eastAsia" w:ascii="宋体" w:hAnsi="宋体" w:eastAsia="宋体" w:cs="宋体"/>
                <w:b w:val="0"/>
                <w:bCs w:val="0"/>
                <w:color w:val="auto"/>
                <w:spacing w:val="8"/>
                <w:sz w:val="21"/>
                <w:szCs w:val="21"/>
                <w:lang w:val="en-US" w:eastAsia="zh-CN"/>
              </w:rPr>
              <w:t>合计金额:壹佰壹拾万正</w:t>
            </w:r>
          </w:p>
        </w:tc>
        <w:tc>
          <w:tcPr>
            <w:tcW w:w="5340" w:type="dxa"/>
            <w:gridSpan w:val="7"/>
            <w:shd w:val="clear" w:color="auto" w:fill="auto"/>
            <w:noWrap/>
            <w:vAlign w:val="center"/>
          </w:tcPr>
          <w:p w14:paraId="1687AF07">
            <w:pPr>
              <w:rPr>
                <w:rFonts w:hint="default" w:ascii="宋体" w:hAnsi="宋体" w:eastAsia="宋体" w:cs="宋体"/>
                <w:b w:val="0"/>
                <w:bCs w:val="0"/>
                <w:color w:val="auto"/>
                <w:sz w:val="21"/>
                <w:szCs w:val="21"/>
                <w:u w:val="single"/>
                <w:lang w:val="en-US"/>
              </w:rPr>
            </w:pPr>
            <w:r>
              <w:rPr>
                <w:rFonts w:hint="eastAsia" w:ascii="宋体" w:hAnsi="宋体" w:eastAsia="宋体" w:cs="宋体"/>
                <w:b w:val="0"/>
                <w:bCs w:val="0"/>
                <w:color w:val="auto"/>
                <w:sz w:val="21"/>
                <w:szCs w:val="21"/>
                <w:lang w:val="en-US" w:eastAsia="zh-CN"/>
              </w:rPr>
              <w:t>小写（元）：1100000.00</w:t>
            </w:r>
          </w:p>
        </w:tc>
      </w:tr>
      <w:tr w14:paraId="13ADA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4587" w:type="dxa"/>
            <w:gridSpan w:val="12"/>
            <w:noWrap/>
          </w:tcPr>
          <w:p w14:paraId="62B5BDAA">
            <w:pP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二、商务要求</w:t>
            </w:r>
          </w:p>
        </w:tc>
      </w:tr>
      <w:tr w14:paraId="5C11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467" w:type="dxa"/>
            <w:gridSpan w:val="2"/>
            <w:shd w:val="clear" w:color="auto" w:fill="auto"/>
            <w:noWrap/>
            <w:vAlign w:val="center"/>
          </w:tcPr>
          <w:p w14:paraId="34BEE086">
            <w:pPr>
              <w:jc w:val="center"/>
              <w:rPr>
                <w:rFonts w:hint="eastAsia" w:ascii="宋体" w:hAnsi="宋体" w:cs="宋体" w:eastAsiaTheme="minorEastAsia"/>
                <w:b/>
                <w:bCs/>
                <w:color w:val="auto"/>
                <w:kern w:val="2"/>
                <w:sz w:val="21"/>
                <w:szCs w:val="24"/>
                <w:lang w:val="en-US" w:eastAsia="zh-CN" w:bidi="ar-SA"/>
              </w:rPr>
            </w:pPr>
            <w:r>
              <w:rPr>
                <w:rFonts w:hint="eastAsia" w:ascii="宋体" w:hAnsi="宋体" w:cs="宋体"/>
                <w:b/>
                <w:bCs/>
                <w:color w:val="auto"/>
              </w:rPr>
              <w:t>报价说明</w:t>
            </w:r>
          </w:p>
        </w:tc>
        <w:tc>
          <w:tcPr>
            <w:tcW w:w="13120" w:type="dxa"/>
            <w:gridSpan w:val="10"/>
            <w:shd w:val="clear" w:color="auto" w:fill="auto"/>
            <w:noWrap/>
            <w:vAlign w:val="center"/>
          </w:tcPr>
          <w:p w14:paraId="36DB69B5">
            <w:pPr>
              <w:rPr>
                <w:rFonts w:ascii="宋体" w:hAnsi="宋体" w:cs="宋体"/>
                <w:color w:val="auto"/>
              </w:rPr>
            </w:pPr>
            <w:r>
              <w:rPr>
                <w:rFonts w:hint="eastAsia" w:ascii="宋体" w:hAnsi="宋体" w:cs="宋体"/>
                <w:color w:val="auto"/>
              </w:rPr>
              <w:t>报</w:t>
            </w:r>
            <w:r>
              <w:rPr>
                <w:rFonts w:ascii="宋体" w:hAnsi="宋体" w:cs="宋体"/>
                <w:color w:val="auto"/>
              </w:rPr>
              <w:t>价为采购人指定地点的现场</w:t>
            </w:r>
            <w:r>
              <w:rPr>
                <w:rFonts w:hint="eastAsia" w:ascii="宋体" w:hAnsi="宋体" w:cs="宋体"/>
                <w:color w:val="auto"/>
              </w:rPr>
              <w:t>交付价格</w:t>
            </w:r>
            <w:r>
              <w:rPr>
                <w:rFonts w:ascii="宋体" w:hAnsi="宋体" w:cs="宋体"/>
                <w:color w:val="auto"/>
              </w:rPr>
              <w:t>，包括但不限于：</w:t>
            </w:r>
          </w:p>
          <w:p w14:paraId="389BD557">
            <w:pPr>
              <w:rPr>
                <w:rFonts w:ascii="宋体" w:hAnsi="宋体" w:cs="宋体"/>
                <w:color w:val="auto"/>
              </w:rPr>
            </w:pPr>
            <w:r>
              <w:rPr>
                <w:rFonts w:ascii="宋体" w:hAnsi="宋体" w:cs="宋体"/>
                <w:color w:val="auto"/>
              </w:rPr>
              <w:t>1）</w:t>
            </w:r>
            <w:r>
              <w:rPr>
                <w:rFonts w:hint="eastAsia" w:ascii="宋体" w:hAnsi="宋体" w:cs="宋体"/>
                <w:color w:val="auto"/>
              </w:rPr>
              <w:t>采购内容中所有</w:t>
            </w:r>
            <w:r>
              <w:rPr>
                <w:rFonts w:ascii="宋体" w:hAnsi="宋体" w:cs="宋体"/>
                <w:color w:val="auto"/>
              </w:rPr>
              <w:t>货物</w:t>
            </w:r>
            <w:r>
              <w:rPr>
                <w:rFonts w:hint="eastAsia" w:ascii="宋体" w:hAnsi="宋体" w:cs="宋体"/>
                <w:color w:val="auto"/>
              </w:rPr>
              <w:t>和</w:t>
            </w:r>
            <w:r>
              <w:rPr>
                <w:rFonts w:ascii="宋体" w:hAnsi="宋体" w:cs="宋体"/>
                <w:color w:val="auto"/>
              </w:rPr>
              <w:t>服务的价格；</w:t>
            </w:r>
          </w:p>
          <w:p w14:paraId="1BD075FE">
            <w:pPr>
              <w:rPr>
                <w:rFonts w:ascii="宋体" w:hAnsi="宋体" w:cs="宋体"/>
                <w:color w:val="auto"/>
              </w:rPr>
            </w:pPr>
            <w:r>
              <w:rPr>
                <w:rFonts w:ascii="宋体" w:hAnsi="宋体" w:cs="宋体"/>
                <w:color w:val="auto"/>
              </w:rPr>
              <w:t>2）货物的标准附件、备品备件、专用工具的价格；</w:t>
            </w:r>
          </w:p>
          <w:p w14:paraId="292EBEDE">
            <w:pPr>
              <w:rPr>
                <w:rFonts w:ascii="宋体" w:hAnsi="宋体" w:cs="宋体"/>
                <w:color w:val="auto"/>
              </w:rPr>
            </w:pPr>
            <w:r>
              <w:rPr>
                <w:rFonts w:ascii="宋体" w:hAnsi="宋体" w:cs="宋体"/>
                <w:color w:val="auto"/>
              </w:rPr>
              <w:t>3）运输、装卸、</w:t>
            </w:r>
            <w:r>
              <w:rPr>
                <w:rFonts w:hint="eastAsia" w:ascii="宋体" w:hAnsi="宋体" w:cs="宋体"/>
                <w:color w:val="auto"/>
              </w:rPr>
              <w:t>安装（含安装材料）、</w:t>
            </w:r>
            <w:r>
              <w:rPr>
                <w:rFonts w:ascii="宋体" w:hAnsi="宋体" w:cs="宋体"/>
                <w:color w:val="auto"/>
              </w:rPr>
              <w:t>调试、培训、技术支持、售后服务</w:t>
            </w:r>
            <w:r>
              <w:rPr>
                <w:rFonts w:hint="eastAsia" w:ascii="宋体" w:hAnsi="宋体" w:cs="宋体"/>
                <w:color w:val="auto"/>
              </w:rPr>
              <w:t>的费用，</w:t>
            </w:r>
            <w:r>
              <w:rPr>
                <w:rFonts w:ascii="宋体" w:hAnsi="宋体" w:cs="宋体"/>
                <w:color w:val="auto"/>
              </w:rPr>
              <w:t>质保期内免费</w:t>
            </w:r>
            <w:r>
              <w:rPr>
                <w:rFonts w:hint="eastAsia" w:ascii="宋体" w:hAnsi="宋体" w:cs="宋体"/>
                <w:color w:val="auto"/>
              </w:rPr>
              <w:t>维修、养</w:t>
            </w:r>
            <w:r>
              <w:rPr>
                <w:rFonts w:ascii="宋体" w:hAnsi="宋体" w:cs="宋体"/>
                <w:color w:val="auto"/>
              </w:rPr>
              <w:t>护</w:t>
            </w:r>
            <w:r>
              <w:rPr>
                <w:rFonts w:hint="eastAsia" w:ascii="宋体" w:hAnsi="宋体" w:cs="宋体"/>
                <w:color w:val="auto"/>
              </w:rPr>
              <w:t>、软件升级</w:t>
            </w:r>
            <w:r>
              <w:rPr>
                <w:rFonts w:ascii="宋体" w:hAnsi="宋体" w:cs="宋体"/>
                <w:color w:val="auto"/>
              </w:rPr>
              <w:t>等费用；</w:t>
            </w:r>
          </w:p>
          <w:p w14:paraId="1611EDD5">
            <w:pPr>
              <w:rPr>
                <w:rFonts w:hint="eastAsia" w:ascii="宋体" w:hAnsi="宋体" w:cs="宋体" w:eastAsiaTheme="minorEastAsia"/>
                <w:color w:val="auto"/>
                <w:kern w:val="2"/>
                <w:sz w:val="21"/>
                <w:szCs w:val="24"/>
                <w:lang w:val="en-US" w:eastAsia="zh-CN" w:bidi="ar-SA"/>
              </w:rPr>
            </w:pPr>
            <w:r>
              <w:rPr>
                <w:rFonts w:ascii="宋体" w:hAnsi="宋体" w:cs="宋体"/>
                <w:color w:val="auto"/>
              </w:rPr>
              <w:t>4）必要的保险</w:t>
            </w:r>
            <w:r>
              <w:rPr>
                <w:rFonts w:hint="eastAsia" w:ascii="宋体" w:hAnsi="宋体" w:cs="宋体"/>
                <w:color w:val="auto"/>
              </w:rPr>
              <w:t>、检测</w:t>
            </w:r>
            <w:r>
              <w:rPr>
                <w:rFonts w:ascii="宋体" w:hAnsi="宋体" w:cs="宋体"/>
                <w:color w:val="auto"/>
              </w:rPr>
              <w:t>费用和各项税费</w:t>
            </w:r>
            <w:r>
              <w:rPr>
                <w:rFonts w:hint="eastAsia" w:ascii="宋体" w:hAnsi="宋体" w:cs="宋体"/>
                <w:color w:val="auto"/>
              </w:rPr>
              <w:t>等。</w:t>
            </w:r>
          </w:p>
        </w:tc>
      </w:tr>
      <w:tr w14:paraId="7DE5B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467" w:type="dxa"/>
            <w:gridSpan w:val="2"/>
            <w:shd w:val="clear" w:color="auto" w:fill="auto"/>
            <w:noWrap/>
            <w:vAlign w:val="center"/>
          </w:tcPr>
          <w:p w14:paraId="11515FC9">
            <w:pPr>
              <w:jc w:val="center"/>
              <w:rPr>
                <w:rFonts w:hint="eastAsia" w:ascii="宋体" w:hAnsi="宋体" w:eastAsiaTheme="minorEastAsia" w:cstheme="minorBidi"/>
                <w:b/>
                <w:bCs/>
                <w:color w:val="auto"/>
                <w:kern w:val="2"/>
                <w:sz w:val="21"/>
                <w:szCs w:val="24"/>
                <w:lang w:val="en-US" w:eastAsia="zh-CN" w:bidi="ar-SA"/>
              </w:rPr>
            </w:pPr>
            <w:r>
              <w:rPr>
                <w:rFonts w:hint="eastAsia" w:ascii="宋体" w:hAnsi="宋体" w:cs="宋体"/>
                <w:b/>
                <w:bCs/>
                <w:color w:val="auto"/>
              </w:rPr>
              <w:t>质保期</w:t>
            </w:r>
          </w:p>
        </w:tc>
        <w:tc>
          <w:tcPr>
            <w:tcW w:w="13120" w:type="dxa"/>
            <w:gridSpan w:val="10"/>
            <w:shd w:val="clear" w:color="auto" w:fill="auto"/>
            <w:noWrap/>
            <w:vAlign w:val="center"/>
          </w:tcPr>
          <w:p w14:paraId="4CA0A4BC">
            <w:pPr>
              <w:rPr>
                <w:rFonts w:ascii="宋体" w:hAnsi="宋体" w:cs="宋体"/>
                <w:color w:val="auto"/>
              </w:rPr>
            </w:pPr>
            <w:r>
              <w:rPr>
                <w:rFonts w:ascii="宋体" w:hAnsi="宋体" w:cs="宋体"/>
                <w:b/>
                <w:color w:val="auto"/>
              </w:rPr>
              <w:t>1.</w:t>
            </w:r>
            <w:r>
              <w:rPr>
                <w:rFonts w:hint="eastAsia" w:ascii="宋体" w:hAnsi="宋体" w:cs="宋体"/>
                <w:b/>
                <w:color w:val="auto"/>
              </w:rPr>
              <w:t>质保期：</w:t>
            </w:r>
            <w:r>
              <w:rPr>
                <w:rFonts w:hint="eastAsia" w:ascii="宋体" w:hAnsi="宋体" w:cs="宋体"/>
                <w:b/>
                <w:color w:val="auto"/>
                <w:highlight w:val="none"/>
                <w:u w:val="single"/>
                <w:lang w:val="en-US" w:eastAsia="zh-CN"/>
              </w:rPr>
              <w:t>5年</w:t>
            </w:r>
            <w:r>
              <w:rPr>
                <w:rFonts w:hint="eastAsia" w:ascii="宋体" w:hAnsi="宋体" w:cs="宋体"/>
                <w:b/>
                <w:color w:val="auto"/>
              </w:rPr>
              <w:t>。</w:t>
            </w:r>
            <w:r>
              <w:rPr>
                <w:rFonts w:hint="eastAsia" w:ascii="宋体" w:hAnsi="宋体" w:cs="宋体"/>
                <w:color w:val="auto"/>
              </w:rPr>
              <w:t>（分项货物服务要求中有特别注明的，按特别注明的执行）</w:t>
            </w:r>
          </w:p>
          <w:p w14:paraId="0E638F13">
            <w:pPr>
              <w:rPr>
                <w:rFonts w:hint="eastAsia" w:ascii="宋体" w:hAnsi="宋体" w:eastAsiaTheme="minorEastAsia" w:cstheme="minorBidi"/>
                <w:color w:val="auto"/>
                <w:kern w:val="2"/>
                <w:sz w:val="21"/>
                <w:szCs w:val="24"/>
                <w:lang w:val="en-US" w:eastAsia="zh-CN" w:bidi="ar-SA"/>
              </w:rPr>
            </w:pPr>
            <w:r>
              <w:rPr>
                <w:rFonts w:hint="eastAsia" w:ascii="宋体" w:hAnsi="宋体" w:cs="宋体"/>
                <w:color w:val="auto"/>
              </w:rPr>
              <w:t>2.所有货物服务</w:t>
            </w:r>
            <w:r>
              <w:rPr>
                <w:rFonts w:ascii="宋体" w:hAnsi="宋体" w:cs="宋体"/>
                <w:color w:val="auto"/>
              </w:rPr>
              <w:t>按</w:t>
            </w:r>
            <w:r>
              <w:rPr>
                <w:rFonts w:hint="eastAsia" w:ascii="宋体" w:hAnsi="宋体" w:cs="宋体"/>
                <w:color w:val="auto"/>
              </w:rPr>
              <w:t>国家</w:t>
            </w:r>
            <w:r>
              <w:rPr>
                <w:rFonts w:ascii="宋体" w:hAnsi="宋体" w:cs="宋体"/>
                <w:color w:val="auto"/>
              </w:rPr>
              <w:t>“三包”</w:t>
            </w:r>
            <w:r>
              <w:rPr>
                <w:rFonts w:hint="eastAsia" w:ascii="宋体" w:hAnsi="宋体" w:cs="宋体"/>
                <w:color w:val="auto"/>
              </w:rPr>
              <w:t>有关</w:t>
            </w:r>
            <w:r>
              <w:rPr>
                <w:rFonts w:ascii="宋体" w:hAnsi="宋体" w:cs="宋体"/>
                <w:color w:val="auto"/>
              </w:rPr>
              <w:t>规定执行“三包”</w:t>
            </w:r>
            <w:r>
              <w:rPr>
                <w:rFonts w:hint="eastAsia" w:ascii="宋体" w:hAnsi="宋体" w:cs="宋体"/>
                <w:color w:val="auto"/>
              </w:rPr>
              <w:t>。质保期自交付验收合格之日起计算，质保期内提供上门维修、更换和软件升级服务；质保期结束后，提供终身维护，并优惠提供相关零配件。</w:t>
            </w:r>
          </w:p>
        </w:tc>
      </w:tr>
      <w:tr w14:paraId="02D8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467" w:type="dxa"/>
            <w:gridSpan w:val="2"/>
            <w:shd w:val="clear" w:color="auto" w:fill="auto"/>
            <w:noWrap/>
            <w:vAlign w:val="center"/>
          </w:tcPr>
          <w:p w14:paraId="0784B9D1">
            <w:pPr>
              <w:jc w:val="center"/>
              <w:rPr>
                <w:rFonts w:hint="eastAsia" w:ascii="宋体" w:hAnsi="宋体" w:cs="宋体" w:eastAsiaTheme="minorEastAsia"/>
                <w:b/>
                <w:bCs/>
                <w:color w:val="auto"/>
                <w:kern w:val="2"/>
                <w:sz w:val="21"/>
                <w:szCs w:val="24"/>
                <w:lang w:val="en-US" w:eastAsia="zh-CN" w:bidi="ar-SA"/>
              </w:rPr>
            </w:pPr>
            <w:r>
              <w:rPr>
                <w:rFonts w:hint="eastAsia" w:ascii="宋体" w:hAnsi="宋体" w:cs="宋体"/>
                <w:b/>
                <w:bCs/>
                <w:color w:val="auto"/>
              </w:rPr>
              <w:t>产品及售后服务要求</w:t>
            </w:r>
          </w:p>
        </w:tc>
        <w:tc>
          <w:tcPr>
            <w:tcW w:w="13120" w:type="dxa"/>
            <w:gridSpan w:val="10"/>
            <w:shd w:val="clear" w:color="auto" w:fill="auto"/>
            <w:noWrap/>
            <w:vAlign w:val="center"/>
          </w:tcPr>
          <w:p w14:paraId="1D5A3388">
            <w:pPr>
              <w:rPr>
                <w:rFonts w:ascii="宋体" w:hAnsi="宋体" w:cs="宋体"/>
                <w:color w:val="auto"/>
              </w:rPr>
            </w:pPr>
            <w:r>
              <w:rPr>
                <w:rFonts w:ascii="宋体" w:hAnsi="宋体" w:cs="宋体"/>
                <w:color w:val="auto"/>
              </w:rPr>
              <w:t>1.</w:t>
            </w:r>
            <w:r>
              <w:rPr>
                <w:rFonts w:hint="eastAsia" w:ascii="宋体" w:hAnsi="宋体" w:cs="宋体"/>
                <w:color w:val="auto"/>
              </w:rPr>
              <w:t>成交人</w:t>
            </w:r>
            <w:r>
              <w:rPr>
                <w:rFonts w:ascii="宋体" w:hAnsi="宋体" w:cs="宋体"/>
                <w:color w:val="auto"/>
              </w:rPr>
              <w:t>交付的所有</w:t>
            </w:r>
            <w:r>
              <w:rPr>
                <w:rFonts w:hint="eastAsia" w:ascii="宋体" w:hAnsi="宋体" w:cs="宋体"/>
                <w:b/>
                <w:color w:val="auto"/>
              </w:rPr>
              <w:t>货物</w:t>
            </w:r>
            <w:r>
              <w:rPr>
                <w:rFonts w:ascii="宋体" w:hAnsi="宋体" w:cs="宋体"/>
                <w:color w:val="auto"/>
              </w:rPr>
              <w:t>必须是签订合同之日</w:t>
            </w:r>
            <w:r>
              <w:rPr>
                <w:rFonts w:ascii="宋体" w:hAnsi="宋体" w:cs="宋体"/>
                <w:b/>
                <w:color w:val="auto"/>
              </w:rPr>
              <w:t>前</w:t>
            </w:r>
            <w:r>
              <w:rPr>
                <w:rFonts w:hint="eastAsia" w:ascii="宋体" w:hAnsi="宋体" w:cs="宋体"/>
                <w:b/>
                <w:color w:val="auto"/>
                <w:u w:val="single"/>
              </w:rPr>
              <w:t xml:space="preserve"> 半年 </w:t>
            </w:r>
            <w:r>
              <w:rPr>
                <w:rFonts w:ascii="宋体" w:hAnsi="宋体" w:cs="宋体"/>
                <w:color w:val="auto"/>
              </w:rPr>
              <w:t>内生产的产品</w:t>
            </w:r>
            <w:r>
              <w:rPr>
                <w:rFonts w:hint="eastAsia" w:ascii="宋体" w:hAnsi="宋体" w:cs="宋体"/>
                <w:color w:val="auto"/>
              </w:rPr>
              <w:t>，</w:t>
            </w:r>
            <w:r>
              <w:rPr>
                <w:rFonts w:ascii="宋体" w:hAnsi="宋体" w:cs="宋体"/>
                <w:color w:val="auto"/>
              </w:rPr>
              <w:t>。</w:t>
            </w:r>
          </w:p>
          <w:p w14:paraId="1477F195">
            <w:pPr>
              <w:rPr>
                <w:rFonts w:ascii="宋体" w:hAnsi="宋体" w:cs="宋体"/>
                <w:b/>
                <w:color w:val="auto"/>
              </w:rPr>
            </w:pPr>
            <w:r>
              <w:rPr>
                <w:rFonts w:hint="eastAsia" w:ascii="宋体" w:hAnsi="宋体" w:cs="宋体"/>
                <w:color w:val="auto"/>
              </w:rPr>
              <w:t>2</w:t>
            </w:r>
            <w:r>
              <w:rPr>
                <w:rFonts w:ascii="宋体" w:hAnsi="宋体" w:cs="宋体"/>
                <w:color w:val="auto"/>
              </w:rPr>
              <w:t>.</w:t>
            </w:r>
            <w:r>
              <w:rPr>
                <w:rFonts w:hint="eastAsia" w:ascii="宋体" w:hAnsi="宋体" w:cs="宋体"/>
                <w:color w:val="auto"/>
              </w:rPr>
              <w:t>送货至采购人指定地点，协助进行安装场地设计，完成安装和调试。所有安装应符合国家、行业相关标准及规范。</w:t>
            </w:r>
            <w:r>
              <w:rPr>
                <w:rFonts w:hint="eastAsia" w:ascii="宋体" w:hAnsi="宋体" w:cs="宋体"/>
                <w:b/>
                <w:color w:val="auto"/>
              </w:rPr>
              <w:t>（所有货物仅接受现场交付，不接受邮递）</w:t>
            </w:r>
          </w:p>
          <w:p w14:paraId="5D7491F3">
            <w:pPr>
              <w:rPr>
                <w:rFonts w:ascii="宋体" w:hAnsi="宋体" w:cs="宋体"/>
                <w:color w:val="auto"/>
              </w:rPr>
            </w:pPr>
            <w:r>
              <w:rPr>
                <w:rFonts w:ascii="宋体" w:hAnsi="宋体" w:cs="宋体"/>
                <w:color w:val="auto"/>
              </w:rPr>
              <w:t>3.为采购</w:t>
            </w:r>
            <w:r>
              <w:rPr>
                <w:rFonts w:hint="eastAsia" w:ascii="宋体" w:hAnsi="宋体" w:cs="宋体"/>
                <w:color w:val="auto"/>
              </w:rPr>
              <w:t>人</w:t>
            </w:r>
            <w:r>
              <w:rPr>
                <w:rFonts w:ascii="宋体" w:hAnsi="宋体" w:cs="宋体"/>
                <w:color w:val="auto"/>
              </w:rPr>
              <w:t>提供</w:t>
            </w:r>
            <w:r>
              <w:rPr>
                <w:rFonts w:hint="eastAsia" w:ascii="宋体" w:hAnsi="宋体" w:cs="宋体"/>
                <w:color w:val="auto"/>
              </w:rPr>
              <w:t>产品</w:t>
            </w:r>
            <w:r>
              <w:rPr>
                <w:rFonts w:ascii="宋体" w:hAnsi="宋体" w:cs="宋体"/>
                <w:color w:val="auto"/>
              </w:rPr>
              <w:t>操作</w:t>
            </w:r>
            <w:r>
              <w:rPr>
                <w:rFonts w:hint="eastAsia" w:ascii="宋体" w:hAnsi="宋体" w:cs="宋体"/>
                <w:color w:val="auto"/>
              </w:rPr>
              <w:t>、维修、日常养护等方面的</w:t>
            </w:r>
            <w:r>
              <w:rPr>
                <w:rFonts w:ascii="宋体" w:hAnsi="宋体" w:cs="宋体"/>
                <w:color w:val="auto"/>
              </w:rPr>
              <w:t>培训，确保</w:t>
            </w:r>
            <w:r>
              <w:rPr>
                <w:rFonts w:hint="eastAsia" w:ascii="宋体" w:hAnsi="宋体" w:cs="宋体"/>
                <w:color w:val="auto"/>
              </w:rPr>
              <w:t>采购方使用人员</w:t>
            </w:r>
            <w:r>
              <w:rPr>
                <w:rFonts w:ascii="宋体" w:hAnsi="宋体" w:cs="宋体"/>
                <w:color w:val="auto"/>
              </w:rPr>
              <w:t>能独立操作使用</w:t>
            </w:r>
            <w:r>
              <w:rPr>
                <w:rFonts w:hint="eastAsia" w:ascii="宋体" w:hAnsi="宋体" w:cs="宋体"/>
                <w:color w:val="auto"/>
              </w:rPr>
              <w:t>，</w:t>
            </w:r>
            <w:r>
              <w:rPr>
                <w:rFonts w:ascii="宋体" w:hAnsi="宋体" w:cs="宋体"/>
                <w:color w:val="auto"/>
              </w:rPr>
              <w:t>培训人数</w:t>
            </w:r>
            <w:r>
              <w:rPr>
                <w:rFonts w:hint="eastAsia" w:ascii="宋体" w:hAnsi="宋体" w:cs="宋体"/>
                <w:color w:val="auto"/>
              </w:rPr>
              <w:t>、时间、地点等</w:t>
            </w:r>
            <w:r>
              <w:rPr>
                <w:rFonts w:ascii="宋体" w:hAnsi="宋体" w:cs="宋体"/>
                <w:color w:val="auto"/>
              </w:rPr>
              <w:t>由采购</w:t>
            </w:r>
            <w:r>
              <w:rPr>
                <w:rFonts w:hint="eastAsia" w:ascii="宋体" w:hAnsi="宋体" w:cs="宋体"/>
                <w:color w:val="auto"/>
              </w:rPr>
              <w:t>人指定</w:t>
            </w:r>
            <w:r>
              <w:rPr>
                <w:rFonts w:ascii="宋体" w:hAnsi="宋体" w:cs="宋体"/>
                <w:color w:val="auto"/>
              </w:rPr>
              <w:t>。</w:t>
            </w:r>
          </w:p>
          <w:p w14:paraId="18ABC48F">
            <w:pPr>
              <w:rPr>
                <w:rFonts w:ascii="宋体" w:hAnsi="宋体" w:cs="宋体"/>
                <w:color w:val="auto"/>
              </w:rPr>
            </w:pPr>
            <w:r>
              <w:rPr>
                <w:rFonts w:ascii="宋体" w:hAnsi="宋体" w:cs="宋体"/>
                <w:color w:val="auto"/>
              </w:rPr>
              <w:t>4.故障响应时间：在使用过程中</w:t>
            </w:r>
            <w:r>
              <w:rPr>
                <w:rFonts w:hint="eastAsia" w:ascii="宋体" w:hAnsi="宋体" w:cs="宋体"/>
                <w:color w:val="auto"/>
              </w:rPr>
              <w:t>出现</w:t>
            </w:r>
            <w:r>
              <w:rPr>
                <w:rFonts w:ascii="宋体" w:hAnsi="宋体" w:cs="宋体"/>
                <w:color w:val="auto"/>
              </w:rPr>
              <w:t>质量问题，</w:t>
            </w:r>
            <w:r>
              <w:rPr>
                <w:rFonts w:hint="eastAsia" w:ascii="宋体" w:hAnsi="宋体" w:cs="宋体"/>
                <w:color w:val="auto"/>
              </w:rPr>
              <w:t>成交人</w:t>
            </w:r>
            <w:r>
              <w:rPr>
                <w:rFonts w:ascii="宋体" w:hAnsi="宋体" w:cs="宋体"/>
                <w:color w:val="auto"/>
              </w:rPr>
              <w:t>在接到</w:t>
            </w:r>
            <w:r>
              <w:rPr>
                <w:rFonts w:hint="eastAsia" w:ascii="宋体" w:hAnsi="宋体" w:cs="宋体"/>
                <w:color w:val="auto"/>
              </w:rPr>
              <w:t>采购人</w:t>
            </w:r>
            <w:r>
              <w:rPr>
                <w:rFonts w:ascii="宋体" w:hAnsi="宋体" w:cs="宋体"/>
                <w:color w:val="auto"/>
              </w:rPr>
              <w:t>通知后1小时</w:t>
            </w:r>
            <w:r>
              <w:rPr>
                <w:rFonts w:hint="eastAsia" w:ascii="宋体" w:hAnsi="宋体" w:cs="宋体"/>
                <w:color w:val="auto"/>
              </w:rPr>
              <w:t>作出</w:t>
            </w:r>
            <w:r>
              <w:rPr>
                <w:rFonts w:ascii="宋体" w:hAnsi="宋体" w:cs="宋体"/>
                <w:color w:val="auto"/>
              </w:rPr>
              <w:t>响应</w:t>
            </w:r>
            <w:r>
              <w:rPr>
                <w:rFonts w:hint="eastAsia" w:ascii="宋体" w:hAnsi="宋体" w:cs="宋体"/>
                <w:color w:val="auto"/>
              </w:rPr>
              <w:t>；如需到达现场解决的，在</w:t>
            </w:r>
            <w:r>
              <w:rPr>
                <w:rFonts w:ascii="宋体" w:hAnsi="宋体" w:cs="宋体"/>
                <w:color w:val="auto"/>
              </w:rPr>
              <w:t>8小时内</w:t>
            </w:r>
            <w:r>
              <w:rPr>
                <w:rFonts w:hint="eastAsia" w:ascii="宋体" w:hAnsi="宋体" w:cs="宋体"/>
                <w:color w:val="auto"/>
              </w:rPr>
              <w:t>应</w:t>
            </w:r>
            <w:r>
              <w:rPr>
                <w:rFonts w:ascii="宋体" w:hAnsi="宋体" w:cs="宋体"/>
                <w:color w:val="auto"/>
              </w:rPr>
              <w:t>到达现场。</w:t>
            </w:r>
          </w:p>
          <w:p w14:paraId="49A4C0CA">
            <w:pPr>
              <w:rPr>
                <w:rFonts w:hint="eastAsia" w:ascii="宋体" w:hAnsi="宋体" w:cs="宋体" w:eastAsiaTheme="minorEastAsia"/>
                <w:color w:val="auto"/>
                <w:kern w:val="2"/>
                <w:sz w:val="21"/>
                <w:szCs w:val="24"/>
                <w:lang w:val="en-US" w:eastAsia="zh-CN" w:bidi="ar-SA"/>
              </w:rPr>
            </w:pPr>
            <w:r>
              <w:rPr>
                <w:rFonts w:ascii="宋体" w:hAnsi="宋体" w:cs="宋体"/>
                <w:color w:val="auto"/>
              </w:rPr>
              <w:t>5.</w:t>
            </w:r>
            <w:r>
              <w:rPr>
                <w:rFonts w:hint="eastAsia" w:ascii="宋体" w:hAnsi="宋体" w:cs="宋体"/>
                <w:color w:val="auto"/>
              </w:rPr>
              <w:t>成交人须遵守校园出入规定，在供货、安装过程中确保相关人员安全。</w:t>
            </w:r>
            <w:r>
              <w:rPr>
                <w:rFonts w:ascii="宋体" w:hAnsi="宋体" w:cs="宋体"/>
                <w:color w:val="auto"/>
              </w:rPr>
              <w:t>供货</w:t>
            </w:r>
            <w:r>
              <w:rPr>
                <w:rFonts w:hint="eastAsia" w:ascii="宋体" w:hAnsi="宋体" w:cs="宋体"/>
                <w:color w:val="auto"/>
              </w:rPr>
              <w:t>、</w:t>
            </w:r>
            <w:r>
              <w:rPr>
                <w:rFonts w:ascii="宋体" w:hAnsi="宋体" w:cs="宋体"/>
                <w:color w:val="auto"/>
              </w:rPr>
              <w:t>安装过程中产生的残留物或垃圾，</w:t>
            </w:r>
            <w:r>
              <w:rPr>
                <w:rFonts w:hint="eastAsia" w:ascii="宋体" w:hAnsi="宋体" w:cs="宋体"/>
                <w:color w:val="auto"/>
              </w:rPr>
              <w:t>成交人需</w:t>
            </w:r>
            <w:r>
              <w:rPr>
                <w:rFonts w:ascii="宋体" w:hAnsi="宋体" w:cs="宋体"/>
                <w:color w:val="auto"/>
              </w:rPr>
              <w:t>自行清理至校外。</w:t>
            </w:r>
          </w:p>
        </w:tc>
      </w:tr>
      <w:tr w14:paraId="15FB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467" w:type="dxa"/>
            <w:gridSpan w:val="2"/>
            <w:shd w:val="clear" w:color="auto" w:fill="auto"/>
            <w:noWrap/>
            <w:vAlign w:val="center"/>
          </w:tcPr>
          <w:p w14:paraId="6978A56D">
            <w:pPr>
              <w:jc w:val="center"/>
              <w:rPr>
                <w:rFonts w:hint="eastAsia" w:ascii="宋体" w:hAnsi="宋体" w:eastAsiaTheme="minorEastAsia" w:cstheme="minorBidi"/>
                <w:b/>
                <w:bCs/>
                <w:color w:val="auto"/>
                <w:kern w:val="2"/>
                <w:sz w:val="21"/>
                <w:szCs w:val="24"/>
                <w:lang w:val="en-US" w:eastAsia="zh-CN" w:bidi="ar-SA"/>
              </w:rPr>
            </w:pPr>
            <w:r>
              <w:rPr>
                <w:rFonts w:hint="eastAsia" w:ascii="宋体" w:hAnsi="宋体" w:cs="宋体"/>
                <w:b/>
                <w:bCs/>
                <w:color w:val="auto"/>
              </w:rPr>
              <w:t>交付时间</w:t>
            </w:r>
          </w:p>
        </w:tc>
        <w:tc>
          <w:tcPr>
            <w:tcW w:w="13120" w:type="dxa"/>
            <w:gridSpan w:val="10"/>
            <w:shd w:val="clear" w:color="auto" w:fill="auto"/>
            <w:noWrap/>
            <w:vAlign w:val="center"/>
          </w:tcPr>
          <w:p w14:paraId="64CB288E">
            <w:pPr>
              <w:rPr>
                <w:rFonts w:ascii="宋体" w:hAnsi="宋体" w:cs="宋体"/>
                <w:color w:val="auto"/>
                <w:spacing w:val="-2"/>
              </w:rPr>
            </w:pPr>
            <w:r>
              <w:rPr>
                <w:rFonts w:ascii="宋体" w:hAnsi="宋体" w:cs="宋体"/>
                <w:color w:val="auto"/>
                <w:spacing w:val="-2"/>
              </w:rPr>
              <w:t>1.交</w:t>
            </w:r>
            <w:r>
              <w:rPr>
                <w:rFonts w:hint="eastAsia" w:ascii="宋体" w:hAnsi="宋体" w:cs="宋体"/>
                <w:color w:val="auto"/>
                <w:spacing w:val="-2"/>
              </w:rPr>
              <w:t>付</w:t>
            </w:r>
            <w:r>
              <w:rPr>
                <w:rFonts w:ascii="宋体" w:hAnsi="宋体" w:cs="宋体"/>
                <w:color w:val="auto"/>
                <w:spacing w:val="-2"/>
              </w:rPr>
              <w:t>时间：自签订合同之日起</w:t>
            </w:r>
            <w:r>
              <w:rPr>
                <w:rFonts w:hint="eastAsia" w:ascii="宋体" w:hAnsi="宋体" w:cs="宋体"/>
                <w:b/>
                <w:color w:val="auto"/>
                <w:spacing w:val="-2"/>
                <w:u w:val="single"/>
              </w:rPr>
              <w:t xml:space="preserve">    根据广西中医药大学仙葫校区图书馆维护提升项目建设施工进度  </w:t>
            </w:r>
            <w:r>
              <w:rPr>
                <w:rFonts w:hint="eastAsia" w:ascii="宋体" w:hAnsi="宋体" w:cs="宋体"/>
                <w:color w:val="auto"/>
                <w:spacing w:val="-2"/>
              </w:rPr>
              <w:t>全部交付完成并验收合格。</w:t>
            </w:r>
          </w:p>
          <w:p w14:paraId="76BAF6C5">
            <w:pPr>
              <w:rPr>
                <w:rFonts w:hint="eastAsia" w:ascii="宋体" w:hAnsi="宋体" w:eastAsiaTheme="minorEastAsia" w:cstheme="minorBidi"/>
                <w:color w:val="auto"/>
                <w:kern w:val="2"/>
                <w:sz w:val="21"/>
                <w:szCs w:val="24"/>
                <w:lang w:val="en-US" w:eastAsia="zh-CN" w:bidi="ar-SA"/>
              </w:rPr>
            </w:pPr>
            <w:r>
              <w:rPr>
                <w:rFonts w:ascii="宋体" w:hAnsi="宋体" w:cs="宋体"/>
                <w:color w:val="auto"/>
              </w:rPr>
              <w:t>2.交</w:t>
            </w:r>
            <w:r>
              <w:rPr>
                <w:rFonts w:hint="eastAsia" w:ascii="宋体" w:hAnsi="宋体" w:cs="宋体"/>
                <w:color w:val="auto"/>
              </w:rPr>
              <w:t>付</w:t>
            </w:r>
            <w:r>
              <w:rPr>
                <w:rFonts w:ascii="宋体" w:hAnsi="宋体" w:cs="宋体"/>
                <w:color w:val="auto"/>
              </w:rPr>
              <w:t>地点：广西</w:t>
            </w:r>
            <w:r>
              <w:rPr>
                <w:rFonts w:hint="eastAsia" w:ascii="宋体" w:hAnsi="宋体" w:cs="宋体"/>
                <w:color w:val="auto"/>
                <w:lang w:val="en-US" w:eastAsia="zh-CN"/>
              </w:rPr>
              <w:t>中医药</w:t>
            </w:r>
            <w:r>
              <w:rPr>
                <w:rFonts w:hint="eastAsia" w:ascii="宋体" w:hAnsi="宋体" w:cs="宋体"/>
                <w:color w:val="auto"/>
              </w:rPr>
              <w:t>大学</w:t>
            </w:r>
            <w:r>
              <w:rPr>
                <w:rFonts w:ascii="宋体" w:hAnsi="宋体" w:cs="宋体"/>
                <w:color w:val="auto"/>
              </w:rPr>
              <w:t>。</w:t>
            </w:r>
          </w:p>
        </w:tc>
      </w:tr>
      <w:tr w14:paraId="3A5D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4587" w:type="dxa"/>
            <w:gridSpan w:val="12"/>
            <w:noWrap/>
          </w:tcPr>
          <w:p w14:paraId="24100DB8">
            <w:pPr>
              <w:rPr>
                <w:rFonts w:hint="eastAsia" w:ascii="宋体" w:hAnsi="宋体" w:eastAsia="宋体" w:cs="宋体"/>
                <w:b w:val="0"/>
                <w:bCs w:val="0"/>
                <w:color w:val="auto"/>
                <w:sz w:val="21"/>
                <w:szCs w:val="21"/>
                <w:lang w:val="en-US" w:eastAsia="zh-CN"/>
              </w:rPr>
            </w:pPr>
            <w:r>
              <w:rPr>
                <w:rFonts w:hint="eastAsia" w:ascii="宋体" w:hAnsi="宋体"/>
                <w:b/>
                <w:bCs/>
                <w:color w:val="auto"/>
              </w:rPr>
              <w:t>三、其它要求</w:t>
            </w:r>
          </w:p>
        </w:tc>
      </w:tr>
      <w:tr w14:paraId="51F8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4587" w:type="dxa"/>
            <w:gridSpan w:val="12"/>
            <w:noWrap/>
          </w:tcPr>
          <w:p w14:paraId="78F920CF">
            <w:pPr>
              <w:rPr>
                <w:rFonts w:hint="eastAsia" w:ascii="宋体" w:hAnsi="宋体" w:eastAsia="宋体" w:cs="宋体"/>
                <w:b w:val="0"/>
                <w:bCs w:val="0"/>
                <w:color w:val="auto"/>
                <w:sz w:val="21"/>
                <w:szCs w:val="21"/>
                <w:lang w:val="en-US" w:eastAsia="zh-CN"/>
              </w:rPr>
            </w:pPr>
            <w:r>
              <w:rPr>
                <w:rFonts w:hint="eastAsia" w:ascii="宋体" w:hAnsi="宋体" w:cs="宋体"/>
                <w:color w:val="auto"/>
              </w:rPr>
              <w:t>（填写其他补充事项）</w:t>
            </w:r>
          </w:p>
        </w:tc>
      </w:tr>
    </w:tbl>
    <w:p w14:paraId="21ACB7AD">
      <w:pPr>
        <w:rPr>
          <w:rFonts w:ascii="宋体" w:hAnsi="宋体" w:cs="仿宋"/>
          <w:bCs/>
          <w:color w:val="000000"/>
        </w:rPr>
      </w:pPr>
      <w:r>
        <w:rPr>
          <w:rFonts w:hint="eastAsia" w:ascii="宋体" w:hAnsi="宋体" w:cs="仿宋"/>
          <w:color w:val="000000"/>
          <w:sz w:val="18"/>
        </w:rPr>
        <w:t>注：所有价格均用人民币表示，单位为元，精确到小数点后两位。</w:t>
      </w:r>
    </w:p>
    <w:p w14:paraId="50D81C40">
      <w:pPr>
        <w:spacing w:line="360" w:lineRule="auto"/>
        <w:ind w:left="10" w:leftChars="5" w:firstLine="554" w:firstLineChars="198"/>
        <w:rPr>
          <w:rFonts w:hint="eastAsia" w:ascii="宋体" w:hAnsi="宋体" w:cs="宋体"/>
          <w:sz w:val="28"/>
          <w:szCs w:val="28"/>
        </w:rPr>
      </w:pPr>
    </w:p>
    <w:p w14:paraId="376F03F5">
      <w:pPr>
        <w:spacing w:line="360" w:lineRule="auto"/>
        <w:ind w:left="10" w:leftChars="5" w:firstLine="554" w:firstLineChars="198"/>
        <w:rPr>
          <w:rFonts w:hint="eastAsia" w:ascii="宋体" w:hAnsi="宋体" w:cs="宋体"/>
          <w:sz w:val="28"/>
          <w:szCs w:val="28"/>
        </w:rPr>
      </w:pPr>
    </w:p>
    <w:p w14:paraId="01860F6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供应商全称：</w:t>
      </w:r>
      <w:r>
        <w:rPr>
          <w:rFonts w:hint="eastAsia" w:ascii="宋体" w:hAnsi="宋体" w:cs="宋体"/>
          <w:sz w:val="28"/>
          <w:szCs w:val="28"/>
          <w:u w:val="single"/>
        </w:rPr>
        <w:t xml:space="preserve">                         </w:t>
      </w:r>
      <w:r>
        <w:rPr>
          <w:rFonts w:hint="eastAsia" w:ascii="宋体" w:hAnsi="宋体" w:cs="宋体"/>
          <w:sz w:val="28"/>
          <w:szCs w:val="28"/>
        </w:rPr>
        <w:t>（公章）</w:t>
      </w:r>
    </w:p>
    <w:p w14:paraId="56DFAB6F">
      <w:pPr>
        <w:spacing w:line="360" w:lineRule="auto"/>
        <w:ind w:left="10" w:leftChars="5" w:firstLine="554" w:firstLineChars="198"/>
        <w:rPr>
          <w:rFonts w:ascii="宋体" w:hAnsi="宋体" w:cs="宋体"/>
          <w:sz w:val="28"/>
          <w:szCs w:val="28"/>
        </w:rPr>
      </w:pPr>
      <w:r>
        <w:rPr>
          <w:rFonts w:hint="eastAsia" w:ascii="宋体" w:hAnsi="宋体" w:cs="宋体"/>
          <w:sz w:val="28"/>
          <w:szCs w:val="28"/>
        </w:rPr>
        <w:t>法定代表人或委托代理人：</w:t>
      </w:r>
      <w:r>
        <w:rPr>
          <w:rFonts w:hint="eastAsia" w:ascii="宋体" w:hAnsi="宋体" w:cs="宋体"/>
          <w:sz w:val="28"/>
          <w:szCs w:val="28"/>
          <w:u w:val="single"/>
        </w:rPr>
        <w:t xml:space="preserve">             </w:t>
      </w:r>
      <w:r>
        <w:rPr>
          <w:rFonts w:hint="eastAsia" w:ascii="宋体" w:hAnsi="宋体" w:cs="宋体"/>
          <w:sz w:val="28"/>
          <w:szCs w:val="28"/>
        </w:rPr>
        <w:t>（签字或签章）</w:t>
      </w:r>
    </w:p>
    <w:p w14:paraId="6D916B5E">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供应商地址：</w:t>
      </w:r>
      <w:r>
        <w:rPr>
          <w:rFonts w:hint="eastAsia" w:ascii="宋体" w:hAnsi="宋体" w:cs="宋体"/>
          <w:sz w:val="28"/>
          <w:szCs w:val="28"/>
          <w:u w:val="single"/>
        </w:rPr>
        <w:tab/>
      </w:r>
      <w:r>
        <w:rPr>
          <w:rFonts w:hint="eastAsia" w:ascii="宋体" w:hAnsi="宋体" w:cs="宋体"/>
          <w:sz w:val="28"/>
          <w:szCs w:val="28"/>
          <w:u w:val="single"/>
        </w:rPr>
        <w:t xml:space="preserve">   </w:t>
      </w:r>
      <w:r>
        <w:rPr>
          <w:rFonts w:ascii="宋体" w:hAnsi="宋体" w:cs="宋体"/>
          <w:sz w:val="28"/>
          <w:szCs w:val="28"/>
          <w:u w:val="single"/>
        </w:rPr>
        <w:t xml:space="preserve">                    </w:t>
      </w:r>
    </w:p>
    <w:p w14:paraId="335B2FE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供应商联系方式：</w:t>
      </w:r>
      <w:r>
        <w:rPr>
          <w:rFonts w:ascii="宋体" w:hAnsi="宋体" w:cs="宋体"/>
          <w:sz w:val="28"/>
          <w:szCs w:val="28"/>
          <w:u w:val="single"/>
        </w:rPr>
        <w:t xml:space="preserve">     </w:t>
      </w:r>
      <w:r>
        <w:rPr>
          <w:rFonts w:hint="eastAsia" w:ascii="宋体" w:hAnsi="宋体" w:cs="宋体"/>
          <w:sz w:val="28"/>
          <w:szCs w:val="28"/>
          <w:u w:val="single"/>
        </w:rPr>
        <w:t xml:space="preserve">                </w:t>
      </w:r>
      <w:r>
        <w:rPr>
          <w:rFonts w:ascii="宋体" w:hAnsi="宋体" w:cs="宋体"/>
          <w:sz w:val="28"/>
          <w:szCs w:val="28"/>
          <w:u w:val="single"/>
        </w:rPr>
        <w:t xml:space="preserve"> </w:t>
      </w:r>
      <w:r>
        <w:rPr>
          <w:rFonts w:hint="eastAsia" w:ascii="宋体" w:hAnsi="宋体" w:cs="宋体"/>
          <w:sz w:val="28"/>
          <w:szCs w:val="28"/>
        </w:rPr>
        <w:t>（联系人、联系电话）</w:t>
      </w:r>
    </w:p>
    <w:p w14:paraId="0395909A">
      <w:pPr>
        <w:spacing w:line="360" w:lineRule="auto"/>
        <w:rPr>
          <w:rFonts w:ascii="宋体" w:hAnsi="宋体" w:cs="宋体"/>
          <w:sz w:val="28"/>
          <w:szCs w:val="28"/>
        </w:rPr>
      </w:pPr>
    </w:p>
    <w:p w14:paraId="32932B66">
      <w:pPr>
        <w:spacing w:line="360" w:lineRule="auto"/>
        <w:ind w:left="10" w:leftChars="1" w:hanging="8" w:hangingChars="3"/>
        <w:jc w:val="cente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7C42D8D0">
      <w:pPr>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73A6FB"/>
    <w:multiLevelType w:val="singleLevel"/>
    <w:tmpl w:val="4E73A6FB"/>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3E48B4"/>
    <w:rsid w:val="025E5F88"/>
    <w:rsid w:val="04277401"/>
    <w:rsid w:val="08FC70AE"/>
    <w:rsid w:val="099D1F0C"/>
    <w:rsid w:val="13B61E07"/>
    <w:rsid w:val="14D4238F"/>
    <w:rsid w:val="19C608D9"/>
    <w:rsid w:val="1D7C2114"/>
    <w:rsid w:val="2C2801FE"/>
    <w:rsid w:val="339F2091"/>
    <w:rsid w:val="37D87F4B"/>
    <w:rsid w:val="453E48B4"/>
    <w:rsid w:val="490054D6"/>
    <w:rsid w:val="494E2307"/>
    <w:rsid w:val="520C3806"/>
    <w:rsid w:val="59AD217B"/>
    <w:rsid w:val="5F902CCD"/>
    <w:rsid w:val="5FBB1871"/>
    <w:rsid w:val="5FF137C3"/>
    <w:rsid w:val="6C4D7283"/>
    <w:rsid w:val="6C754A84"/>
    <w:rsid w:val="75461826"/>
    <w:rsid w:val="7C1B4907"/>
    <w:rsid w:val="7F5B2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style>
  <w:style w:type="paragraph" w:styleId="3">
    <w:name w:val="Normal Indent"/>
    <w:basedOn w:val="1"/>
    <w:next w:val="1"/>
    <w:qFormat/>
    <w:uiPriority w:val="0"/>
    <w:pPr>
      <w:widowControl/>
      <w:snapToGrid w:val="0"/>
      <w:spacing w:line="480" w:lineRule="exact"/>
      <w:ind w:firstLine="567"/>
    </w:pPr>
    <w:rPr>
      <w:rFonts w:ascii="宋体"/>
      <w:snapToGrid w:val="0"/>
      <w:color w:val="000000"/>
      <w:kern w:val="28"/>
      <w:sz w:val="28"/>
      <w:szCs w:val="20"/>
    </w:rPr>
  </w:style>
  <w:style w:type="paragraph" w:styleId="4">
    <w:name w:val="Body Text"/>
    <w:basedOn w:val="1"/>
    <w:next w:val="1"/>
    <w:qFormat/>
    <w:uiPriority w:val="1"/>
    <w:pPr>
      <w:autoSpaceDE w:val="0"/>
      <w:autoSpaceDN w:val="0"/>
      <w:adjustRightInd w:val="0"/>
      <w:jc w:val="left"/>
    </w:pPr>
    <w:rPr>
      <w:rFonts w:ascii="宋体" w:hAnsi="宋体" w:cs="Times New Roman"/>
      <w:kern w:val="0"/>
      <w:sz w:val="20"/>
      <w:szCs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8305</Words>
  <Characters>9363</Characters>
  <Lines>0</Lines>
  <Paragraphs>0</Paragraphs>
  <TotalTime>12</TotalTime>
  <ScaleCrop>false</ScaleCrop>
  <LinksUpToDate>false</LinksUpToDate>
  <CharactersWithSpaces>9817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2026-03-20T02:42:00Z</dcterms:created>
  <dc:creator>刘玲</dc:creator>
  <cp:lastModifiedBy>和为贵</cp:lastModifiedBy>
  <dcterms:modified xsi:type="dcterms:W3CDTF">2026-04-08T07:37:51Z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2EB366E6EB9B49E784192603968E0B91_13</vt:lpwstr>
  </property>
  <property fmtid="{D5CDD505-2E9C-101B-9397-08002B2CF9AE}" pid="4" name="KSOTemplateDocerSaveRecord">
    <vt:lpwstr>eyJoZGlkIjoiYWZjNTA1MWI2ZGEwMTc2ODZlNzJjMDEyOWU0MjdjMGYiLCJ1c2VySWQiOiI0MTY4ODgxNjYifQ==</vt:lpwstr>
  </property>
</Properties>
</file>