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8B08E">
      <w:pPr>
        <w:keepNext w:val="0"/>
        <w:keepLines w:val="0"/>
        <w:pageBreakBefore w:val="0"/>
        <w:wordWrap/>
        <w:topLinePunct w:val="0"/>
        <w:bidi w:val="0"/>
        <w:spacing w:line="440" w:lineRule="exact"/>
        <w:ind w:firstLine="2530" w:firstLineChars="1050"/>
        <w:rPr>
          <w:rFonts w:ascii="方正小标宋简体" w:hAnsi="宋体" w:eastAsia="方正小标宋简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附件1：</w:t>
      </w:r>
      <w:r>
        <w:rPr>
          <w:rFonts w:hint="eastAsia" w:ascii="方正小标宋简体" w:hAnsi="宋体" w:eastAsia="方正小标宋简体" w:cs="Times New Roman"/>
          <w:b/>
          <w:sz w:val="24"/>
          <w:szCs w:val="24"/>
        </w:rPr>
        <w:t>采购需求及响应报价表</w:t>
      </w:r>
    </w:p>
    <w:p w14:paraId="60A125B6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ascii="宋体" w:hAnsi="宋体" w:eastAsia="宋体" w:cs="Times New Roman"/>
          <w:b/>
          <w:sz w:val="24"/>
          <w:szCs w:val="24"/>
        </w:rPr>
      </w:pPr>
    </w:p>
    <w:p w14:paraId="6C7AD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0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项目名称：广西中医药大学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百年乐制药有限公司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安全现状评价服务</w:t>
      </w:r>
    </w:p>
    <w:p w14:paraId="4CBEDBA9">
      <w:pPr>
        <w:keepNext w:val="0"/>
        <w:keepLines w:val="0"/>
        <w:pageBreakBefore w:val="0"/>
        <w:wordWrap/>
        <w:topLinePunct w:val="0"/>
        <w:bidi w:val="0"/>
        <w:spacing w:line="440" w:lineRule="exact"/>
        <w:ind w:right="380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项目编号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 xml:space="preserve">: 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BNL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-2026-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JZT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-00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3</w:t>
      </w:r>
    </w:p>
    <w:p w14:paraId="2A340B9D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ascii="宋体" w:hAnsi="宋体" w:eastAsia="宋体" w:cs="Times New Roman"/>
          <w:b/>
          <w:color w:val="000000"/>
          <w:szCs w:val="21"/>
        </w:rPr>
      </w:pPr>
      <w:r>
        <w:rPr>
          <w:rFonts w:hint="eastAsia" w:ascii="宋体" w:hAnsi="宋体" w:eastAsia="宋体" w:cs="Times New Roman"/>
          <w:b/>
          <w:color w:val="000000"/>
          <w:szCs w:val="21"/>
        </w:rPr>
        <w:t>说明：</w:t>
      </w:r>
      <w:r>
        <w:rPr>
          <w:rFonts w:ascii="宋体" w:hAnsi="宋体" w:eastAsia="宋体" w:cs="Times New Roman"/>
          <w:b/>
          <w:bCs/>
          <w:szCs w:val="24"/>
        </w:rPr>
        <w:t>1.</w:t>
      </w:r>
      <w:r>
        <w:rPr>
          <w:rFonts w:hint="eastAsia" w:ascii="宋体" w:hAnsi="宋体" w:eastAsia="宋体" w:cs="Times New Roman"/>
          <w:b/>
          <w:szCs w:val="24"/>
        </w:rPr>
        <w:t>本需求</w:t>
      </w:r>
      <w:r>
        <w:rPr>
          <w:rFonts w:ascii="宋体" w:hAnsi="宋体" w:eastAsia="宋体" w:cs="Times New Roman"/>
          <w:b/>
          <w:bCs/>
          <w:szCs w:val="24"/>
        </w:rPr>
        <w:t>中</w:t>
      </w:r>
      <w:r>
        <w:rPr>
          <w:rFonts w:hint="eastAsia" w:ascii="宋体" w:hAnsi="宋体" w:eastAsia="宋体" w:cs="Times New Roman"/>
          <w:b/>
          <w:bCs/>
          <w:szCs w:val="24"/>
        </w:rPr>
        <w:t>的相关参数有</w:t>
      </w:r>
      <w:r>
        <w:rPr>
          <w:rFonts w:ascii="宋体" w:hAnsi="宋体" w:eastAsia="宋体" w:cs="Times New Roman"/>
          <w:b/>
          <w:bCs/>
          <w:szCs w:val="24"/>
        </w:rPr>
        <w:t>不明确或有误的，</w:t>
      </w:r>
      <w:r>
        <w:rPr>
          <w:rFonts w:hint="eastAsia" w:ascii="宋体" w:hAnsi="宋体" w:eastAsia="宋体" w:cs="Times New Roman"/>
          <w:b/>
          <w:bCs/>
          <w:szCs w:val="24"/>
        </w:rPr>
        <w:t>报价人</w:t>
      </w:r>
      <w:r>
        <w:rPr>
          <w:rFonts w:ascii="宋体" w:hAnsi="宋体" w:eastAsia="宋体" w:cs="Times New Roman"/>
          <w:b/>
          <w:bCs/>
          <w:szCs w:val="24"/>
        </w:rPr>
        <w:t>请以详细、正确的参数</w:t>
      </w:r>
      <w:r>
        <w:rPr>
          <w:rFonts w:hint="eastAsia" w:ascii="宋体" w:hAnsi="宋体" w:eastAsia="宋体" w:cs="Times New Roman"/>
          <w:b/>
          <w:bCs/>
          <w:szCs w:val="24"/>
        </w:rPr>
        <w:t>另做附件</w:t>
      </w:r>
      <w:r>
        <w:rPr>
          <w:rFonts w:ascii="宋体" w:hAnsi="宋体" w:eastAsia="宋体" w:cs="Times New Roman"/>
          <w:b/>
          <w:bCs/>
          <w:szCs w:val="24"/>
        </w:rPr>
        <w:t>。</w:t>
      </w:r>
    </w:p>
    <w:p w14:paraId="1D7DF70F">
      <w:pPr>
        <w:keepNext w:val="0"/>
        <w:keepLines w:val="0"/>
        <w:pageBreakBefore w:val="0"/>
        <w:wordWrap/>
        <w:topLinePunct w:val="0"/>
        <w:bidi w:val="0"/>
        <w:spacing w:line="440" w:lineRule="exact"/>
        <w:ind w:left="-10" w:leftChars="-5" w:right="2" w:rightChars="1"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4"/>
        </w:rPr>
        <w:t xml:space="preserve">  </w:t>
      </w:r>
      <w:r>
        <w:rPr>
          <w:rFonts w:ascii="宋体" w:hAnsi="宋体" w:eastAsia="宋体" w:cs="Times New Roman"/>
          <w:b/>
          <w:bCs/>
          <w:szCs w:val="24"/>
        </w:rPr>
        <w:t>2</w:t>
      </w:r>
      <w:r>
        <w:rPr>
          <w:rFonts w:hint="eastAsia" w:ascii="宋体" w:hAnsi="宋体" w:eastAsia="宋体" w:cs="Times New Roman"/>
          <w:b/>
          <w:bCs/>
          <w:szCs w:val="24"/>
        </w:rPr>
        <w:t>．报价人必须自行为其报价产品或服务侵犯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其</w:t>
      </w:r>
      <w:r>
        <w:rPr>
          <w:rFonts w:hint="eastAsia" w:ascii="宋体" w:hAnsi="宋体" w:eastAsia="宋体" w:cs="Times New Roman"/>
          <w:b/>
          <w:bCs/>
          <w:szCs w:val="24"/>
        </w:rPr>
        <w:t>他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供应商</w:t>
      </w:r>
      <w:r>
        <w:rPr>
          <w:rFonts w:hint="eastAsia" w:ascii="宋体" w:hAnsi="宋体" w:eastAsia="宋体" w:cs="Times New Roman"/>
          <w:b/>
          <w:bCs/>
          <w:szCs w:val="24"/>
        </w:rPr>
        <w:t>担相应法律责任</w:t>
      </w:r>
      <w:r>
        <w:rPr>
          <w:rFonts w:hint="eastAsia" w:ascii="宋体" w:hAnsi="宋体" w:eastAsia="宋体" w:cs="Times New Roman"/>
          <w:b/>
          <w:bCs/>
          <w:szCs w:val="21"/>
        </w:rPr>
        <w:t>。</w:t>
      </w:r>
    </w:p>
    <w:tbl>
      <w:tblPr>
        <w:tblStyle w:val="7"/>
        <w:tblW w:w="9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6"/>
        <w:gridCol w:w="2820"/>
        <w:gridCol w:w="450"/>
        <w:gridCol w:w="2699"/>
        <w:gridCol w:w="3079"/>
      </w:tblGrid>
      <w:tr w14:paraId="2425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8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21E6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jc w:val="left"/>
              <w:rPr>
                <w:rFonts w:hint="default" w:ascii="宋体" w:hAnsi="宋体" w:eastAsia="宋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一、</w:t>
            </w:r>
            <w:r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  <w:t>技术条款</w:t>
            </w:r>
          </w:p>
        </w:tc>
      </w:tr>
      <w:tr w14:paraId="4301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0620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序号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0A19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采购项目名称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6C4C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数量单位</w:t>
            </w:r>
          </w:p>
        </w:tc>
        <w:tc>
          <w:tcPr>
            <w:tcW w:w="5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5612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采购需求</w:t>
            </w:r>
          </w:p>
        </w:tc>
      </w:tr>
      <w:tr w14:paraId="64F54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CB27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jc w:val="center"/>
              <w:rPr>
                <w:rFonts w:ascii="宋体" w:hAnsi="宋体" w:eastAsia="宋体" w:cs="Times New Roman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Cs w:val="21"/>
              </w:rPr>
              <w:t>1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7AC90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1"/>
                <w:szCs w:val="21"/>
              </w:rPr>
              <w:t>广西中医药大学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百年乐制药有限公司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安全现状评价服务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94AA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1项</w:t>
            </w:r>
          </w:p>
        </w:tc>
        <w:tc>
          <w:tcPr>
            <w:tcW w:w="5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9418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基本情况</w:t>
            </w:r>
          </w:p>
          <w:p w14:paraId="1BAE513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  <w:t>广西中医药大学百年乐制药有限公司是集研发、教学、生产、经营于一体的高科技企业，设有总部及龙岗分公司两个生产厂区。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根据《中华人民共和国安全生产法》、《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危险化学品安全法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》、《危险化学品重大危险源辨识》（GB18218）、《建筑设计防火规范》（GB50016）、《生产过程危险和有害因素分类与代码》（GB/T13861）、《安全评价通则》（AQ8001）等相关法律、法规、标准发生重大变化，公司应包括但不限于地理位置及自然条件、工艺过程、生产运行现状重新进行评价，现拟对东葛总公司、龙岗分公司整个安全现状评价项目服务进行采购。</w:t>
            </w:r>
          </w:p>
          <w:p w14:paraId="38B30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二、服务内容</w:t>
            </w:r>
          </w:p>
          <w:p w14:paraId="006E8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  <w:t>1.针对生产经营活动、区域运行管理的安全风险状况、安全管理状况进行安全评价，辨识与分析其存在的危险、有害因素，审查确定其与安全生产法律法规、标准、技术规范要求的符合性，预测发生事故或造成职业危害的可能性及其严重程度，提出科学、合理、可行的安全对策措施建议，做出安全现状评价结论的活动。</w:t>
            </w:r>
          </w:p>
          <w:p w14:paraId="29E18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对东葛总公司、龙岗分公司在用生产装置、设备设施、储存、运输及安全管理状况进行的全面综合安全评价，包括但不限于如下内容：</w:t>
            </w:r>
          </w:p>
          <w:p w14:paraId="78090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（1）全面收集评价所需的信息资料，采用合适的安全评价方法进行危险、有害因素识别与分析，给出安全评价所需的数据资料。</w:t>
            </w:r>
          </w:p>
          <w:p w14:paraId="2DADB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（2）对于可能造成重大事故后果的危险、有害因素，特别是事故隐患，采用合适安全评价方法，进行定性、定量安全评价，确定危险、有害因素导致事故的可能性及其严重程度。</w:t>
            </w:r>
          </w:p>
          <w:p w14:paraId="2FDE8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（3）对辨识出的危险源，按照危险性进行排序，按照可接受风险标准，确定可接受风险和不可接受风险；对辨识出的事故隐患，根据其事故的危险性，确定整改的优先顺序。</w:t>
            </w:r>
          </w:p>
          <w:p w14:paraId="18AFFB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（4）对不可接受风险和事故隐患，提出整改措施。</w:t>
            </w:r>
          </w:p>
          <w:p w14:paraId="702A5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  <w:t>3.编制东葛、龙岗两个厂区“安全评价报告”，即《广西中医药大学百年乐制药有限公司安全现状评价》（东葛厂区）和《广西中医药大学百年乐制药有限公司安全现状评价》（龙岗厂区）各一式六份。</w:t>
            </w:r>
          </w:p>
          <w:p w14:paraId="78E26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 xml:space="preserve">三、验收标准 </w:t>
            </w:r>
          </w:p>
          <w:p w14:paraId="46DE8E5F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ind w:firstLine="420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评价的依据应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符合相关法律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法规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标准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及规范，特别是对危险分析要全面、具体；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安全现状评价报告的格式应符合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安全评价通则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》标准要求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。</w:t>
            </w:r>
          </w:p>
        </w:tc>
      </w:tr>
      <w:tr w14:paraId="2E0B7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8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ED424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left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二、商务条款</w:t>
            </w:r>
          </w:p>
        </w:tc>
      </w:tr>
      <w:tr w14:paraId="3C0C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3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FC85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服务</w:t>
            </w:r>
            <w:r>
              <w:rPr>
                <w:rFonts w:hint="eastAsia" w:ascii="宋体" w:hAnsi="宋体" w:eastAsia="宋体" w:cs="宋体"/>
                <w:szCs w:val="21"/>
              </w:rPr>
              <w:t>要求</w:t>
            </w:r>
          </w:p>
        </w:tc>
        <w:tc>
          <w:tcPr>
            <w:tcW w:w="6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2702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wordWrap/>
              <w:topLinePunct w:val="0"/>
              <w:bidi w:val="0"/>
              <w:spacing w:after="0" w:afterAutospacing="0" w:line="440" w:lineRule="exact"/>
              <w:ind w:right="0" w:rightChars="0"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  <w:lang w:val="en-US" w:eastAsia="zh-CN"/>
              </w:rPr>
              <w:t>对公司生产经营活动、区域运行管理的安全风险状况、安全管理状况进行安全评价，辨识与分析其存在的危险、有害因素，审查确定其与安全生产法律法规、技术标准的符合性，预测发生事故或造成职业危害的可能性及其严重程度，提出科学、合理、可行的安全对策措施建议，做出安全现状评价结论。</w:t>
            </w:r>
          </w:p>
        </w:tc>
      </w:tr>
      <w:tr w14:paraId="0F0D8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3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5521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服务</w:t>
            </w:r>
            <w:r>
              <w:rPr>
                <w:rFonts w:hint="eastAsia" w:ascii="宋体" w:hAnsi="宋体" w:eastAsia="宋体" w:cs="宋体"/>
                <w:szCs w:val="21"/>
              </w:rPr>
              <w:t>时间及地点</w:t>
            </w:r>
          </w:p>
        </w:tc>
        <w:tc>
          <w:tcPr>
            <w:tcW w:w="6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08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服务时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限、</w:t>
            </w:r>
            <w:r>
              <w:rPr>
                <w:rFonts w:hint="eastAsia" w:ascii="宋体" w:hAnsi="宋体" w:eastAsia="宋体" w:cs="宋体"/>
                <w:szCs w:val="21"/>
              </w:rPr>
              <w:t>地点要求：</w:t>
            </w:r>
          </w:p>
          <w:p w14:paraId="00F38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服务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时限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自合同签订之日起45日历天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。</w:t>
            </w:r>
          </w:p>
          <w:p w14:paraId="1F69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2.服务地点：南宁市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东葛路60号和南宁市五象大道东段51号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</w:tc>
      </w:tr>
      <w:tr w14:paraId="6B0E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3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5F92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付款方式</w:t>
            </w:r>
          </w:p>
        </w:tc>
        <w:tc>
          <w:tcPr>
            <w:tcW w:w="6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00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合同签订之日起五个工作日内，甲方向乙方交付合同款50%；项目完成验收后乙方开具税率为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6%以上（含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增值发票上传给甲方，甲方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十个工作日内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向乙方交付合同剩余款50%。</w:t>
            </w:r>
          </w:p>
        </w:tc>
      </w:tr>
      <w:tr w14:paraId="18F06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3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8FF9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报价要求</w:t>
            </w:r>
          </w:p>
        </w:tc>
        <w:tc>
          <w:tcPr>
            <w:tcW w:w="6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67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本次报价须为人民币报价，包含：税费、编制费、纸质文本费及其他所有可能发生的一切费用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。</w:t>
            </w:r>
          </w:p>
        </w:tc>
      </w:tr>
      <w:tr w14:paraId="059FC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3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5998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440" w:lineRule="exact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规范标准</w:t>
            </w:r>
          </w:p>
        </w:tc>
        <w:tc>
          <w:tcPr>
            <w:tcW w:w="6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C8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-57" w:rightChars="-27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应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符合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安全生产法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》、《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危险化学品安全法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》、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《建筑设计防火规范》（GB50016）、《生产过程危险和有害因素分类与代码》（GB/T13861）、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安全评价通则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（AQ8001）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相关法律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法规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标准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要求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。</w:t>
            </w:r>
          </w:p>
        </w:tc>
      </w:tr>
      <w:tr w14:paraId="12CC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5E88E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left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b/>
                <w:kern w:val="0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、供应商响应情况</w:t>
            </w:r>
          </w:p>
        </w:tc>
      </w:tr>
      <w:tr w14:paraId="240B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421B3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left"/>
              <w:rPr>
                <w:rFonts w:ascii="宋体" w:hAnsi="宋体" w:eastAsia="宋体" w:cs="TimesNewRomanPSMT"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广西中医药大学</w:t>
            </w:r>
            <w:r>
              <w:rPr>
                <w:rFonts w:hint="eastAsia" w:ascii="宋体" w:hAnsi="宋体" w:eastAsia="宋体" w:cs="TimesNewRomanPSMT"/>
                <w:kern w:val="0"/>
                <w:szCs w:val="21"/>
                <w:lang w:val="en-US" w:eastAsia="zh-CN"/>
              </w:rPr>
              <w:t>百年乐制药有限公司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生产安全事故应急预案重编服务项目</w:t>
            </w: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 xml:space="preserve">参数响应情况： 无偏离 ；    </w:t>
            </w:r>
          </w:p>
          <w:p w14:paraId="14558784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left"/>
              <w:rPr>
                <w:rFonts w:ascii="宋体" w:hAnsi="宋体" w:eastAsia="宋体" w:cs="TimesNewRomanPSMT"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广西中医药大学</w:t>
            </w:r>
            <w:r>
              <w:rPr>
                <w:rFonts w:hint="eastAsia" w:ascii="宋体" w:hAnsi="宋体" w:eastAsia="宋体" w:cs="TimesNewRomanPSMT"/>
                <w:kern w:val="0"/>
                <w:szCs w:val="21"/>
                <w:lang w:val="en-US" w:eastAsia="zh-CN"/>
              </w:rPr>
              <w:t>百年乐制药有限公司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生产安全事故应急预案重编服务项目</w:t>
            </w: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 xml:space="preserve">商务响应情况： 无偏离 ；                   </w:t>
            </w:r>
          </w:p>
        </w:tc>
      </w:tr>
      <w:tr w14:paraId="40DFC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98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71E7C">
            <w:pPr>
              <w:keepNext w:val="0"/>
              <w:keepLines w:val="0"/>
              <w:pageBreakBefore w:val="0"/>
              <w:tabs>
                <w:tab w:val="left" w:pos="1820"/>
              </w:tabs>
              <w:wordWrap/>
              <w:topLinePunct w:val="0"/>
              <w:bidi w:val="0"/>
              <w:spacing w:line="440" w:lineRule="exact"/>
              <w:rPr>
                <w:rFonts w:ascii="宋体" w:hAnsi="宋体" w:eastAsia="宋体" w:cs="Courier New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  <w:t>四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、供应商报价（可另附清单）</w:t>
            </w:r>
          </w:p>
        </w:tc>
      </w:tr>
      <w:tr w14:paraId="1A04D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8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70624">
            <w:pPr>
              <w:keepNext w:val="0"/>
              <w:keepLines w:val="0"/>
              <w:pageBreakBefore w:val="0"/>
              <w:tabs>
                <w:tab w:val="left" w:pos="1820"/>
              </w:tabs>
              <w:wordWrap/>
              <w:topLinePunct w:val="0"/>
              <w:bidi w:val="0"/>
              <w:spacing w:line="44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报价说明</w:t>
            </w:r>
            <w:r>
              <w:rPr>
                <w:rFonts w:hint="eastAsia" w:ascii="宋体" w:hAnsi="宋体" w:eastAsia="宋体" w:cs="Times New Roman"/>
                <w:szCs w:val="21"/>
              </w:rPr>
              <w:t>：报价总价须包含如产品价格、运输费、安装费、税费等全部费用。</w:t>
            </w:r>
          </w:p>
        </w:tc>
      </w:tr>
      <w:tr w14:paraId="24B5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CF2E8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序号</w:t>
            </w:r>
          </w:p>
        </w:tc>
        <w:tc>
          <w:tcPr>
            <w:tcW w:w="2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C07C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3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FE576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  <w:t>技术服务费用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BE043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  <w:t>技术服务完成时间</w:t>
            </w:r>
          </w:p>
        </w:tc>
      </w:tr>
      <w:tr w14:paraId="582DC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5E0F98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24675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广西中医药大学百年乐制药有限公司（东葛厂区）安全现状评价报告</w:t>
            </w:r>
          </w:p>
        </w:tc>
        <w:tc>
          <w:tcPr>
            <w:tcW w:w="3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74C3D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B6157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A4D7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3443F8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E1F22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广西中医药大学百年乐制药有限公司（龙岗厂区）安全现状评价报告</w:t>
            </w:r>
          </w:p>
        </w:tc>
        <w:tc>
          <w:tcPr>
            <w:tcW w:w="3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28C92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F6B47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B4AC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747FA7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C2688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其他费用</w:t>
            </w:r>
          </w:p>
        </w:tc>
        <w:tc>
          <w:tcPr>
            <w:tcW w:w="3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E5134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9FBFB">
            <w:pPr>
              <w:keepNext w:val="0"/>
              <w:keepLines w:val="0"/>
              <w:pageBreakBefore w:val="0"/>
              <w:widowControl/>
              <w:wordWrap/>
              <w:topLinePunct w:val="0"/>
              <w:bidi w:val="0"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58E3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BB923">
            <w:pPr>
              <w:keepNext w:val="0"/>
              <w:keepLines w:val="0"/>
              <w:pageBreakBefore w:val="0"/>
              <w:wordWrap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left"/>
              <w:rPr>
                <w:rFonts w:ascii="宋体" w:hAnsi="宋体" w:eastAsia="宋体" w:cs="TimesNewRomanPSMT"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报价总价</w:t>
            </w:r>
            <w:r>
              <w:rPr>
                <w:rFonts w:hint="eastAsia" w:ascii="宋体" w:hAnsi="宋体" w:eastAsia="宋体" w:cs="TimesNewRomanPSMT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TimesNewRomanPSMT"/>
                <w:kern w:val="0"/>
                <w:szCs w:val="21"/>
                <w:lang w:val="en-US" w:eastAsia="zh-CN"/>
              </w:rPr>
              <w:t>含税  %</w:t>
            </w:r>
            <w:r>
              <w:rPr>
                <w:rFonts w:hint="eastAsia" w:ascii="宋体" w:hAnsi="宋体" w:eastAsia="宋体" w:cs="TimesNewRomanPSMT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 xml:space="preserve">：大写：              ；小写人民币：        </w:t>
            </w:r>
          </w:p>
        </w:tc>
      </w:tr>
    </w:tbl>
    <w:p w14:paraId="4AE15136">
      <w:pPr>
        <w:keepNext w:val="0"/>
        <w:keepLines w:val="0"/>
        <w:pageBreakBefore w:val="0"/>
        <w:tabs>
          <w:tab w:val="center" w:pos="4153"/>
        </w:tabs>
        <w:wordWrap/>
        <w:topLinePunct w:val="0"/>
        <w:bidi w:val="0"/>
        <w:snapToGrid w:val="0"/>
        <w:spacing w:before="50" w:after="50" w:line="440" w:lineRule="exact"/>
        <w:rPr>
          <w:rFonts w:ascii="新宋体" w:hAnsi="新宋体" w:eastAsia="新宋体" w:cs="新宋体"/>
          <w:color w:val="000000" w:themeColor="text1"/>
          <w:sz w:val="18"/>
          <w:szCs w:val="18"/>
          <w:highlight w:val="yellow"/>
          <w14:textFill>
            <w14:solidFill>
              <w14:schemeClr w14:val="tx1"/>
            </w14:solidFill>
          </w14:textFill>
        </w:rPr>
      </w:pPr>
    </w:p>
    <w:p w14:paraId="6D45B348">
      <w:pPr>
        <w:keepNext w:val="0"/>
        <w:keepLines w:val="0"/>
        <w:pageBreakBefore w:val="0"/>
        <w:tabs>
          <w:tab w:val="center" w:pos="4153"/>
        </w:tabs>
        <w:wordWrap/>
        <w:topLinePunct w:val="0"/>
        <w:bidi w:val="0"/>
        <w:snapToGrid w:val="0"/>
        <w:spacing w:before="50" w:after="50" w:line="440" w:lineRule="exact"/>
        <w:rPr>
          <w:rFonts w:ascii="宋体" w:hAnsi="宋体" w:eastAsia="宋体" w:cs="仿宋_GB2312"/>
          <w:color w:val="000000"/>
          <w:szCs w:val="21"/>
        </w:rPr>
      </w:pPr>
      <w:r>
        <w:rPr>
          <w:rFonts w:hint="eastAsia" w:ascii="宋体" w:hAnsi="宋体" w:eastAsia="宋体" w:cs="仿宋_GB2312"/>
          <w:color w:val="000000"/>
          <w:szCs w:val="21"/>
        </w:rPr>
        <w:t>供货商名称（盖章）：</w:t>
      </w:r>
    </w:p>
    <w:p w14:paraId="0EB81E8C">
      <w:pPr>
        <w:keepNext w:val="0"/>
        <w:keepLines w:val="0"/>
        <w:pageBreakBefore w:val="0"/>
        <w:tabs>
          <w:tab w:val="center" w:pos="4153"/>
        </w:tabs>
        <w:wordWrap/>
        <w:topLinePunct w:val="0"/>
        <w:bidi w:val="0"/>
        <w:snapToGrid w:val="0"/>
        <w:spacing w:before="50" w:after="50" w:line="440" w:lineRule="exact"/>
        <w:rPr>
          <w:rFonts w:ascii="宋体" w:hAnsi="宋体" w:eastAsia="宋体" w:cs="仿宋_GB2312"/>
          <w:color w:val="000000"/>
          <w:szCs w:val="21"/>
          <w:u w:val="single"/>
        </w:rPr>
      </w:pPr>
      <w:r>
        <w:rPr>
          <w:rFonts w:hint="eastAsia" w:ascii="宋体" w:hAnsi="宋体" w:eastAsia="宋体" w:cs="仿宋_GB2312"/>
          <w:color w:val="000000"/>
          <w:szCs w:val="21"/>
        </w:rPr>
        <w:t>法定代表人或委托代理人（签字）</w:t>
      </w:r>
      <w:r>
        <w:rPr>
          <w:rFonts w:ascii="宋体" w:hAnsi="宋体" w:eastAsia="宋体" w:cs="仿宋_GB2312"/>
          <w:color w:val="000000"/>
          <w:szCs w:val="21"/>
          <w:u w:val="single"/>
        </w:rPr>
        <w:tab/>
      </w:r>
    </w:p>
    <w:p w14:paraId="2A72C43A">
      <w:pPr>
        <w:keepNext w:val="0"/>
        <w:keepLines w:val="0"/>
        <w:pageBreakBefore w:val="0"/>
        <w:tabs>
          <w:tab w:val="center" w:pos="4153"/>
        </w:tabs>
        <w:wordWrap/>
        <w:topLinePunct w:val="0"/>
        <w:bidi w:val="0"/>
        <w:snapToGrid w:val="0"/>
        <w:spacing w:before="50" w:after="50" w:line="440" w:lineRule="exact"/>
        <w:rPr>
          <w:rFonts w:ascii="宋体" w:hAnsi="宋体" w:eastAsia="宋体" w:cs="仿宋_GB2312"/>
          <w:color w:val="000000"/>
          <w:szCs w:val="21"/>
        </w:rPr>
      </w:pPr>
      <w:r>
        <w:rPr>
          <w:rFonts w:hint="eastAsia" w:ascii="宋体" w:hAnsi="宋体" w:eastAsia="宋体" w:cs="仿宋_GB2312"/>
          <w:color w:val="000000"/>
          <w:szCs w:val="21"/>
        </w:rPr>
        <w:t>联系人及联系电话：</w:t>
      </w:r>
      <w:r>
        <w:rPr>
          <w:rFonts w:ascii="宋体" w:hAnsi="宋体" w:eastAsia="宋体" w:cs="仿宋_GB2312"/>
          <w:color w:val="000000"/>
          <w:szCs w:val="21"/>
        </w:rPr>
        <w:t xml:space="preserve"> </w:t>
      </w:r>
    </w:p>
    <w:p w14:paraId="507C113E">
      <w:pPr>
        <w:keepNext w:val="0"/>
        <w:keepLines w:val="0"/>
        <w:pageBreakBefore w:val="0"/>
        <w:tabs>
          <w:tab w:val="center" w:pos="4153"/>
        </w:tabs>
        <w:wordWrap/>
        <w:topLinePunct w:val="0"/>
        <w:bidi w:val="0"/>
        <w:snapToGrid w:val="0"/>
        <w:spacing w:before="50" w:after="50" w:line="440" w:lineRule="exact"/>
        <w:rPr>
          <w:rFonts w:ascii="宋体" w:hAnsi="宋体" w:eastAsia="宋体" w:cs="仿宋_GB2312"/>
          <w:color w:val="000000"/>
          <w:szCs w:val="21"/>
        </w:rPr>
      </w:pPr>
    </w:p>
    <w:p w14:paraId="3BD79F47">
      <w:pPr>
        <w:keepNext w:val="0"/>
        <w:keepLines w:val="0"/>
        <w:pageBreakBefore w:val="0"/>
        <w:tabs>
          <w:tab w:val="center" w:pos="4153"/>
        </w:tabs>
        <w:wordWrap/>
        <w:topLinePunct w:val="0"/>
        <w:bidi w:val="0"/>
        <w:snapToGrid w:val="0"/>
        <w:spacing w:before="50" w:after="50" w:line="440" w:lineRule="exact"/>
        <w:rPr>
          <w:rFonts w:ascii="宋体" w:hAnsi="宋体" w:eastAsia="宋体" w:cs="仿宋_GB2312"/>
          <w:color w:val="000000"/>
          <w:szCs w:val="21"/>
        </w:rPr>
      </w:pPr>
      <w:r>
        <w:rPr>
          <w:rFonts w:hint="eastAsia" w:ascii="宋体" w:hAnsi="宋体" w:eastAsia="宋体" w:cs="仿宋_GB2312"/>
          <w:color w:val="000000"/>
          <w:szCs w:val="21"/>
        </w:rPr>
        <w:t xml:space="preserve">                          </w:t>
      </w:r>
      <w:r>
        <w:rPr>
          <w:rFonts w:ascii="宋体" w:hAnsi="宋体" w:eastAsia="宋体" w:cs="仿宋_GB2312"/>
          <w:color w:val="000000"/>
          <w:szCs w:val="21"/>
        </w:rPr>
        <w:t xml:space="preserve">               </w:t>
      </w:r>
      <w:r>
        <w:rPr>
          <w:rFonts w:hint="eastAsia" w:ascii="宋体" w:hAnsi="宋体" w:eastAsia="宋体" w:cs="仿宋_GB2312"/>
          <w:color w:val="000000"/>
          <w:szCs w:val="21"/>
        </w:rPr>
        <w:t xml:space="preserve">    报价日期：   年  月   日  </w:t>
      </w:r>
    </w:p>
    <w:sectPr>
      <w:headerReference r:id="rId3" w:type="default"/>
      <w:footerReference r:id="rId4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37E8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0DE06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0DE06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359EF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410D96"/>
    <w:multiLevelType w:val="singleLevel"/>
    <w:tmpl w:val="46410D9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YWYzNzcxNjMzMTkwYjk4MWViNzJjNjQ5MDBiNGEifQ=="/>
  </w:docVars>
  <w:rsids>
    <w:rsidRoot w:val="00524735"/>
    <w:rsid w:val="0004010E"/>
    <w:rsid w:val="000D5670"/>
    <w:rsid w:val="001127F7"/>
    <w:rsid w:val="001373A8"/>
    <w:rsid w:val="001432BC"/>
    <w:rsid w:val="001A6750"/>
    <w:rsid w:val="001E7733"/>
    <w:rsid w:val="00240816"/>
    <w:rsid w:val="002708B5"/>
    <w:rsid w:val="00296C17"/>
    <w:rsid w:val="002C493F"/>
    <w:rsid w:val="002C7670"/>
    <w:rsid w:val="002D3B6E"/>
    <w:rsid w:val="00312DC4"/>
    <w:rsid w:val="00323F0E"/>
    <w:rsid w:val="0033284B"/>
    <w:rsid w:val="003569A7"/>
    <w:rsid w:val="003672AA"/>
    <w:rsid w:val="003A1F51"/>
    <w:rsid w:val="003A6D4F"/>
    <w:rsid w:val="003B0BC1"/>
    <w:rsid w:val="003B0D49"/>
    <w:rsid w:val="003D20E0"/>
    <w:rsid w:val="003E7362"/>
    <w:rsid w:val="004C21B1"/>
    <w:rsid w:val="00524735"/>
    <w:rsid w:val="0053511F"/>
    <w:rsid w:val="00540ACD"/>
    <w:rsid w:val="005D624B"/>
    <w:rsid w:val="005E52CA"/>
    <w:rsid w:val="005F16FF"/>
    <w:rsid w:val="005F3F67"/>
    <w:rsid w:val="00604BDC"/>
    <w:rsid w:val="006337F3"/>
    <w:rsid w:val="006A130D"/>
    <w:rsid w:val="006A78B1"/>
    <w:rsid w:val="006F55C4"/>
    <w:rsid w:val="007047E7"/>
    <w:rsid w:val="007C2B74"/>
    <w:rsid w:val="007F15BA"/>
    <w:rsid w:val="007F6B6A"/>
    <w:rsid w:val="00847CCA"/>
    <w:rsid w:val="00890449"/>
    <w:rsid w:val="008D0D3D"/>
    <w:rsid w:val="008F2A60"/>
    <w:rsid w:val="00981FB3"/>
    <w:rsid w:val="00991794"/>
    <w:rsid w:val="009952DE"/>
    <w:rsid w:val="00A23FEB"/>
    <w:rsid w:val="00A41B64"/>
    <w:rsid w:val="00A62D7A"/>
    <w:rsid w:val="00A8452E"/>
    <w:rsid w:val="00A9771F"/>
    <w:rsid w:val="00AB1AFB"/>
    <w:rsid w:val="00AD59A6"/>
    <w:rsid w:val="00B064FB"/>
    <w:rsid w:val="00B1181B"/>
    <w:rsid w:val="00B22DB8"/>
    <w:rsid w:val="00B746CC"/>
    <w:rsid w:val="00B965A5"/>
    <w:rsid w:val="00B96E10"/>
    <w:rsid w:val="00BA2E26"/>
    <w:rsid w:val="00BC7E65"/>
    <w:rsid w:val="00BD7727"/>
    <w:rsid w:val="00C53609"/>
    <w:rsid w:val="00C57577"/>
    <w:rsid w:val="00CC3C66"/>
    <w:rsid w:val="00D50CB5"/>
    <w:rsid w:val="00DE22AA"/>
    <w:rsid w:val="00DE5392"/>
    <w:rsid w:val="00E24A0E"/>
    <w:rsid w:val="00E4026B"/>
    <w:rsid w:val="00EA5557"/>
    <w:rsid w:val="00EE66D5"/>
    <w:rsid w:val="00F56E46"/>
    <w:rsid w:val="00F77061"/>
    <w:rsid w:val="00F921EC"/>
    <w:rsid w:val="00FE76F2"/>
    <w:rsid w:val="00FF75AE"/>
    <w:rsid w:val="013731BD"/>
    <w:rsid w:val="064047AA"/>
    <w:rsid w:val="065A59E7"/>
    <w:rsid w:val="06E627A9"/>
    <w:rsid w:val="06FF01C2"/>
    <w:rsid w:val="08711E6A"/>
    <w:rsid w:val="08FE3622"/>
    <w:rsid w:val="0926237D"/>
    <w:rsid w:val="09F21B46"/>
    <w:rsid w:val="0A6A631C"/>
    <w:rsid w:val="0F5F5CA1"/>
    <w:rsid w:val="0F670766"/>
    <w:rsid w:val="0FAF3320"/>
    <w:rsid w:val="113969C6"/>
    <w:rsid w:val="14A57AE6"/>
    <w:rsid w:val="15D9395F"/>
    <w:rsid w:val="17B1375A"/>
    <w:rsid w:val="19A10B83"/>
    <w:rsid w:val="1A386700"/>
    <w:rsid w:val="1B0F2FA1"/>
    <w:rsid w:val="1BC25F36"/>
    <w:rsid w:val="1C475080"/>
    <w:rsid w:val="1D01483C"/>
    <w:rsid w:val="1E3B64D0"/>
    <w:rsid w:val="20C46CE7"/>
    <w:rsid w:val="221E6C99"/>
    <w:rsid w:val="258C10EE"/>
    <w:rsid w:val="25B07614"/>
    <w:rsid w:val="27722A17"/>
    <w:rsid w:val="28D76D98"/>
    <w:rsid w:val="28E3564E"/>
    <w:rsid w:val="29151503"/>
    <w:rsid w:val="2C8965FC"/>
    <w:rsid w:val="2EAC7BCA"/>
    <w:rsid w:val="32A03BE9"/>
    <w:rsid w:val="34690693"/>
    <w:rsid w:val="365D57F4"/>
    <w:rsid w:val="36825ECA"/>
    <w:rsid w:val="38F0754B"/>
    <w:rsid w:val="3AC21656"/>
    <w:rsid w:val="3C0D56D3"/>
    <w:rsid w:val="3CD46809"/>
    <w:rsid w:val="406E7B8B"/>
    <w:rsid w:val="47BA7802"/>
    <w:rsid w:val="489D100D"/>
    <w:rsid w:val="4914665A"/>
    <w:rsid w:val="4BA32DDE"/>
    <w:rsid w:val="4F9604E9"/>
    <w:rsid w:val="525E0CCF"/>
    <w:rsid w:val="536A2433"/>
    <w:rsid w:val="537806AC"/>
    <w:rsid w:val="538057B3"/>
    <w:rsid w:val="54DC2F82"/>
    <w:rsid w:val="55FD133D"/>
    <w:rsid w:val="57F40126"/>
    <w:rsid w:val="5BB57FC4"/>
    <w:rsid w:val="5E80642E"/>
    <w:rsid w:val="5F167EEA"/>
    <w:rsid w:val="5FFE462F"/>
    <w:rsid w:val="616B35FF"/>
    <w:rsid w:val="649C7D16"/>
    <w:rsid w:val="667473F9"/>
    <w:rsid w:val="6A4410A4"/>
    <w:rsid w:val="6AA1779A"/>
    <w:rsid w:val="6B021A3D"/>
    <w:rsid w:val="6B9876E6"/>
    <w:rsid w:val="6BD12BF8"/>
    <w:rsid w:val="6D176D30"/>
    <w:rsid w:val="70EF10B8"/>
    <w:rsid w:val="720758D3"/>
    <w:rsid w:val="725400DF"/>
    <w:rsid w:val="762B5769"/>
    <w:rsid w:val="765520B4"/>
    <w:rsid w:val="76BE1FCB"/>
    <w:rsid w:val="784763FB"/>
    <w:rsid w:val="78AD2703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paragraph" w:customStyle="1" w:styleId="13">
    <w:name w:val="OfficeAI-正文"/>
    <w:basedOn w:val="1"/>
    <w:qFormat/>
    <w:uiPriority w:val="0"/>
    <w:pPr>
      <w:spacing w:line="560" w:lineRule="exact"/>
      <w:ind w:firstLine="480" w:firstLineChars="200"/>
    </w:pPr>
    <w:rPr>
      <w:rFonts w:hint="eastAsia" w:ascii="Times New Roman" w:hAnsi="仿宋_GB2312" w:eastAsia="仿宋_GB2312" w:cs="Times New Roman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1718</Words>
  <Characters>1791</Characters>
  <Lines>7</Lines>
  <Paragraphs>2</Paragraphs>
  <TotalTime>2</TotalTime>
  <ScaleCrop>false</ScaleCrop>
  <LinksUpToDate>false</LinksUpToDate>
  <CharactersWithSpaces>1910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2026-03-16T07:37:00Z</dcterms:created>
  <dc:creator>黄妍</dc:creator>
  <cp:lastModifiedBy>tsunamileos</cp:lastModifiedBy>
  <cp:lastPrinted>2026-04-07T01:04:00Z</cp:lastPrinted>
  <dcterms:modified xsi:type="dcterms:W3CDTF">2026-04-22T01:47:41Z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9474563F9E0E4408AA6251D2444B56DF_13</vt:lpwstr>
  </property>
  <property fmtid="{D5CDD505-2E9C-101B-9397-08002B2CF9AE}" pid="4" name="KSOTemplateDocerSaveRecord">
    <vt:lpwstr>eyJoZGlkIjoiMDFhZTUxZGM0MzUxYTIwMWJmMGZhNWI5YTQ1YjI5ZTYiLCJ1c2VySWQiOiI1MzAxMDI3NTcifQ==</vt:lpwstr>
  </property>
</Properties>
</file>