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rPr>
          <w:rFonts w:hint="eastAsia" w:ascii="宋体" w:hAnsi="宋体"/>
          <w:b/>
          <w:sz w:val="28"/>
          <w:szCs w:val="28"/>
        </w:rPr>
      </w:pPr>
      <w:r>
        <w:rPr>
          <w:rFonts w:hint="eastAsia" w:ascii="宋体" w:hAnsi="宋体"/>
          <w:b/>
          <w:sz w:val="28"/>
          <w:szCs w:val="28"/>
        </w:rPr>
        <w:t>附件3</w:t>
      </w:r>
    </w:p>
    <w:p>
      <w:pPr>
        <w:spacing w:line="400" w:lineRule="exact"/>
        <w:rPr>
          <w:rFonts w:hint="eastAsia" w:ascii="宋体" w:hAnsi="宋体"/>
          <w:b/>
          <w:sz w:val="28"/>
          <w:szCs w:val="28"/>
        </w:rPr>
      </w:pPr>
      <w:r>
        <w:rPr>
          <w:rFonts w:ascii="宋体" w:hAnsi="宋体" w:eastAsia="宋体" w:cs="宋体"/>
          <w:sz w:val="24"/>
          <w:szCs w:val="24"/>
        </w:rPr>
        <w:t>说明：</w:t>
      </w:r>
      <w:r>
        <w:rPr>
          <w:rFonts w:ascii="宋体" w:hAnsi="宋体" w:eastAsia="宋体" w:cs="宋体"/>
          <w:sz w:val="24"/>
          <w:szCs w:val="24"/>
        </w:rPr>
        <w:br w:type="textWrapping"/>
      </w:r>
      <w:r>
        <w:rPr>
          <w:rFonts w:ascii="宋体" w:hAnsi="宋体" w:eastAsia="宋体" w:cs="宋体"/>
          <w:sz w:val="24"/>
          <w:szCs w:val="24"/>
        </w:rPr>
        <w:t>1.投标人须根据技术参数及性能配置要求提供一一对应的技术响应偏离表。</w:t>
      </w:r>
      <w:r>
        <w:rPr>
          <w:rFonts w:ascii="宋体" w:hAnsi="宋体" w:eastAsia="宋体" w:cs="宋体"/>
          <w:sz w:val="24"/>
          <w:szCs w:val="24"/>
        </w:rPr>
        <w:br w:type="textWrapping"/>
      </w:r>
      <w:r>
        <w:rPr>
          <w:rFonts w:ascii="宋体" w:hAnsi="宋体" w:eastAsia="宋体" w:cs="宋体"/>
          <w:sz w:val="24"/>
          <w:szCs w:val="24"/>
        </w:rPr>
        <w:t>2.本章中带★号条款为实质性内容要求，投标时必须满足。</w:t>
      </w:r>
      <w:bookmarkStart w:id="0" w:name="_GoBack"/>
      <w:bookmarkEnd w:id="0"/>
    </w:p>
    <w:p>
      <w:pPr>
        <w:spacing w:line="400" w:lineRule="exact"/>
        <w:jc w:val="center"/>
        <w:rPr>
          <w:rFonts w:ascii="宋体" w:hAnsi="宋体"/>
          <w:b/>
          <w:sz w:val="28"/>
          <w:szCs w:val="28"/>
        </w:rPr>
      </w:pPr>
      <w:r>
        <w:rPr>
          <w:rFonts w:hint="eastAsia" w:ascii="宋体" w:hAnsi="宋体"/>
          <w:b/>
          <w:sz w:val="28"/>
          <w:szCs w:val="28"/>
        </w:rPr>
        <w:t>采购需求</w:t>
      </w:r>
    </w:p>
    <w:tbl>
      <w:tblPr>
        <w:tblStyle w:val="22"/>
        <w:tblW w:w="8642"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61"/>
        <w:gridCol w:w="993"/>
        <w:gridCol w:w="567"/>
        <w:gridCol w:w="709"/>
        <w:gridCol w:w="581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99" w:hRule="atLeast"/>
          <w:jc w:val="center"/>
        </w:trPr>
        <w:tc>
          <w:tcPr>
            <w:tcW w:w="8642" w:type="dxa"/>
            <w:gridSpan w:val="5"/>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eastAsia="宋体"/>
                <w:b/>
                <w:szCs w:val="21"/>
              </w:rPr>
            </w:pPr>
            <w:r>
              <w:rPr>
                <w:rFonts w:hint="eastAsia" w:ascii="宋体" w:hAnsi="宋体" w:eastAsia="宋体"/>
                <w:b/>
                <w:szCs w:val="21"/>
              </w:rPr>
              <w:t>一、物品参数需求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99" w:hRule="atLeast"/>
          <w:jc w:val="center"/>
        </w:trPr>
        <w:tc>
          <w:tcPr>
            <w:tcW w:w="56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b/>
                <w:szCs w:val="21"/>
              </w:rPr>
            </w:pPr>
            <w:r>
              <w:rPr>
                <w:rFonts w:hint="eastAsia" w:ascii="宋体" w:hAnsi="宋体" w:eastAsia="宋体"/>
                <w:b/>
                <w:szCs w:val="21"/>
              </w:rPr>
              <w:t>序号</w:t>
            </w:r>
          </w:p>
        </w:tc>
        <w:tc>
          <w:tcPr>
            <w:tcW w:w="99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b/>
                <w:szCs w:val="21"/>
              </w:rPr>
            </w:pPr>
            <w:r>
              <w:rPr>
                <w:rFonts w:hint="eastAsia" w:ascii="宋体" w:hAnsi="宋体" w:eastAsia="宋体"/>
                <w:b/>
                <w:szCs w:val="21"/>
              </w:rPr>
              <w:t>采购物品名称</w:t>
            </w:r>
          </w:p>
        </w:tc>
        <w:tc>
          <w:tcPr>
            <w:tcW w:w="56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b/>
                <w:szCs w:val="21"/>
              </w:rPr>
            </w:pPr>
            <w:r>
              <w:rPr>
                <w:rFonts w:hint="eastAsia" w:ascii="宋体" w:hAnsi="宋体" w:eastAsia="宋体"/>
                <w:b/>
                <w:szCs w:val="21"/>
              </w:rPr>
              <w:t>品牌</w:t>
            </w:r>
          </w:p>
        </w:tc>
        <w:tc>
          <w:tcPr>
            <w:tcW w:w="70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b/>
                <w:szCs w:val="21"/>
              </w:rPr>
            </w:pPr>
            <w:r>
              <w:rPr>
                <w:rFonts w:hint="eastAsia" w:ascii="宋体" w:hAnsi="宋体" w:eastAsia="宋体"/>
                <w:b/>
                <w:szCs w:val="21"/>
              </w:rPr>
              <w:t>数量</w:t>
            </w:r>
          </w:p>
          <w:p>
            <w:pPr>
              <w:spacing w:line="360" w:lineRule="auto"/>
              <w:jc w:val="center"/>
              <w:rPr>
                <w:rFonts w:ascii="宋体" w:hAnsi="宋体" w:eastAsia="宋体"/>
                <w:b/>
                <w:szCs w:val="21"/>
              </w:rPr>
            </w:pPr>
            <w:r>
              <w:rPr>
                <w:rFonts w:hint="eastAsia" w:ascii="宋体" w:hAnsi="宋体" w:eastAsia="宋体"/>
                <w:b/>
                <w:szCs w:val="21"/>
              </w:rPr>
              <w:t>单位</w:t>
            </w:r>
          </w:p>
        </w:tc>
        <w:tc>
          <w:tcPr>
            <w:tcW w:w="581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b/>
                <w:szCs w:val="21"/>
              </w:rPr>
            </w:pPr>
            <w:r>
              <w:rPr>
                <w:rFonts w:hint="eastAsia" w:ascii="宋体" w:hAnsi="宋体" w:eastAsia="宋体"/>
                <w:b/>
                <w:szCs w:val="21"/>
              </w:rPr>
              <w:t>项目要求及物品参数需求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23" w:hRule="atLeast"/>
          <w:jc w:val="center"/>
        </w:trPr>
        <w:tc>
          <w:tcPr>
            <w:tcW w:w="56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szCs w:val="21"/>
              </w:rPr>
            </w:pPr>
            <w:r>
              <w:rPr>
                <w:rFonts w:hint="eastAsia" w:ascii="宋体" w:hAnsi="宋体" w:eastAsia="宋体"/>
                <w:szCs w:val="21"/>
              </w:rPr>
              <w:t>1</w:t>
            </w:r>
          </w:p>
        </w:tc>
        <w:tc>
          <w:tcPr>
            <w:tcW w:w="993" w:type="dxa"/>
            <w:tcBorders>
              <w:top w:val="single" w:color="auto" w:sz="4" w:space="0"/>
              <w:left w:val="single" w:color="auto" w:sz="4" w:space="0"/>
              <w:bottom w:val="single" w:color="auto" w:sz="4" w:space="0"/>
              <w:right w:val="single" w:color="auto" w:sz="4" w:space="0"/>
            </w:tcBorders>
            <w:vAlign w:val="center"/>
          </w:tcPr>
          <w:p>
            <w:pPr>
              <w:widowControl/>
              <w:jc w:val="center"/>
              <w:textAlignment w:val="bottom"/>
              <w:rPr>
                <w:rFonts w:ascii="宋体" w:hAnsi="宋体" w:eastAsia="宋体" w:cs="宋体"/>
                <w:color w:val="000000"/>
                <w:szCs w:val="21"/>
              </w:rPr>
            </w:pPr>
            <w:r>
              <w:rPr>
                <w:rFonts w:hint="eastAsia" w:ascii="宋体" w:hAnsi="宋体" w:eastAsia="宋体" w:cs="宋体"/>
                <w:szCs w:val="21"/>
              </w:rPr>
              <w:t>医学影像物理学虚拟仿真实验平台</w:t>
            </w:r>
          </w:p>
        </w:tc>
        <w:tc>
          <w:tcPr>
            <w:tcW w:w="56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kern w:val="0"/>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kern w:val="0"/>
                <w:szCs w:val="21"/>
              </w:rPr>
            </w:pPr>
            <w:r>
              <w:rPr>
                <w:rFonts w:hint="eastAsia" w:ascii="宋体" w:hAnsi="宋体" w:eastAsia="宋体" w:cs="宋体"/>
                <w:kern w:val="0"/>
                <w:szCs w:val="21"/>
              </w:rPr>
              <w:t>1套</w:t>
            </w:r>
          </w:p>
        </w:tc>
        <w:tc>
          <w:tcPr>
            <w:tcW w:w="5812"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eastAsia="宋体" w:cs="Times New Roman"/>
                <w:szCs w:val="21"/>
              </w:rPr>
            </w:pPr>
            <w:r>
              <w:rPr>
                <w:rFonts w:ascii="宋体" w:hAnsi="宋体" w:eastAsia="宋体" w:cs="Times New Roman"/>
                <w:szCs w:val="21"/>
              </w:rPr>
              <w:t>1. 含DR原理与技术、CT成像原理、核磁共振信号检测和MRI成像原理四个模块；</w:t>
            </w:r>
          </w:p>
          <w:p>
            <w:pPr>
              <w:autoSpaceDE w:val="0"/>
              <w:autoSpaceDN w:val="0"/>
              <w:adjustRightInd w:val="0"/>
              <w:spacing w:line="360" w:lineRule="auto"/>
              <w:jc w:val="left"/>
              <w:rPr>
                <w:rFonts w:ascii="宋体" w:hAnsi="宋体" w:eastAsia="宋体" w:cs="Times New Roman"/>
                <w:szCs w:val="21"/>
              </w:rPr>
            </w:pPr>
            <w:r>
              <w:rPr>
                <w:rFonts w:ascii="宋体" w:hAnsi="宋体" w:eastAsia="宋体" w:cs="Times New Roman"/>
                <w:szCs w:val="21"/>
              </w:rPr>
              <w:t>2. 可至少开设：X射线性质、DR场景摆位训练、笔形束CT的数据采集与图像重建过程、笔形束CT成像的图像质量控制、核磁共振信号检测、自旋回波（SE）序列成像过程、自旋回波（SE）序列权重像等7个实验。</w:t>
            </w:r>
          </w:p>
          <w:p>
            <w:pPr>
              <w:autoSpaceDE w:val="0"/>
              <w:autoSpaceDN w:val="0"/>
              <w:adjustRightInd w:val="0"/>
              <w:spacing w:line="360" w:lineRule="auto"/>
              <w:jc w:val="left"/>
              <w:rPr>
                <w:rFonts w:ascii="宋体" w:hAnsi="宋体" w:eastAsia="宋体" w:cs="Times New Roman"/>
                <w:szCs w:val="21"/>
              </w:rPr>
            </w:pPr>
            <w:r>
              <w:rPr>
                <w:rFonts w:ascii="宋体" w:hAnsi="宋体" w:eastAsia="宋体" w:cs="Times New Roman"/>
                <w:szCs w:val="21"/>
              </w:rPr>
              <w:t>3.X射线性质实验功能：不同曝光参数（kV，mA，曝光时间）与射线的能谱关系（边界吸收限）。</w:t>
            </w:r>
          </w:p>
          <w:p>
            <w:pPr>
              <w:autoSpaceDE w:val="0"/>
              <w:autoSpaceDN w:val="0"/>
              <w:adjustRightInd w:val="0"/>
              <w:spacing w:line="360" w:lineRule="auto"/>
              <w:jc w:val="left"/>
              <w:rPr>
                <w:rFonts w:ascii="宋体" w:hAnsi="宋体" w:eastAsia="宋体" w:cs="Times New Roman"/>
                <w:szCs w:val="21"/>
              </w:rPr>
            </w:pPr>
            <w:r>
              <w:rPr>
                <w:rFonts w:ascii="宋体" w:hAnsi="宋体" w:eastAsia="宋体" w:cs="Times New Roman"/>
                <w:szCs w:val="21"/>
              </w:rPr>
              <w:t>4. 可模拟真实环境下DR人体检查技术场景，包括立式、卧式检查，常见摆位操作，可对球管、床、人体进行不同空间参数的调整（角度，高度，水平位置等），成像结果与以上的调整联动。</w:t>
            </w:r>
          </w:p>
          <w:p>
            <w:pPr>
              <w:autoSpaceDE w:val="0"/>
              <w:autoSpaceDN w:val="0"/>
              <w:adjustRightInd w:val="0"/>
              <w:spacing w:line="360" w:lineRule="auto"/>
              <w:jc w:val="left"/>
              <w:rPr>
                <w:rFonts w:ascii="宋体" w:hAnsi="宋体" w:eastAsia="宋体" w:cs="Times New Roman"/>
                <w:szCs w:val="21"/>
              </w:rPr>
            </w:pPr>
            <w:r>
              <w:rPr>
                <w:rFonts w:ascii="宋体" w:hAnsi="宋体" w:eastAsia="宋体" w:cs="Times New Roman"/>
                <w:szCs w:val="21"/>
              </w:rPr>
              <w:t>5. CT成像部分的人体图像是基于肺部与颅部断层的电子密度数据库与有效原子序数数据库通过基于物理规律开发的内置函数运算得到，非简单调用预存储图像的模式。针对笔形束成像原理，可设置不同旋转角度、旋转步进、源心距、kV、mA等成像参数，并且相应参数调整后能够体现参数变化对成像效果造成影响，可展示笔形束CT的原始投影数据（正弦图）采集与反投影重建过程。至少包括8种数字样品，样品包括单体素样品、多体素样品、空间分辨率、密度分辨率数字样品、肺部与颅部样品等</w:t>
            </w:r>
          </w:p>
          <w:p>
            <w:pPr>
              <w:autoSpaceDE w:val="0"/>
              <w:autoSpaceDN w:val="0"/>
              <w:adjustRightInd w:val="0"/>
              <w:spacing w:line="360" w:lineRule="auto"/>
              <w:jc w:val="left"/>
              <w:rPr>
                <w:rFonts w:ascii="宋体" w:hAnsi="宋体" w:eastAsia="宋体" w:cs="Times New Roman"/>
                <w:szCs w:val="21"/>
              </w:rPr>
            </w:pPr>
            <w:r>
              <w:rPr>
                <w:rFonts w:ascii="宋体" w:hAnsi="宋体" w:eastAsia="宋体" w:cs="Times New Roman"/>
                <w:szCs w:val="21"/>
              </w:rPr>
              <w:t>6. CT成像部分通过空间与密度分辨率数字样品，可以开展测量空间分辨率和密度分辨率的测试实验。</w:t>
            </w:r>
          </w:p>
          <w:p>
            <w:pPr>
              <w:autoSpaceDE w:val="0"/>
              <w:autoSpaceDN w:val="0"/>
              <w:adjustRightInd w:val="0"/>
              <w:spacing w:line="360" w:lineRule="auto"/>
              <w:jc w:val="left"/>
              <w:rPr>
                <w:rFonts w:ascii="宋体" w:hAnsi="宋体" w:eastAsia="宋体" w:cs="Times New Roman"/>
                <w:szCs w:val="21"/>
              </w:rPr>
            </w:pPr>
            <w:r>
              <w:rPr>
                <w:rFonts w:ascii="宋体" w:hAnsi="宋体" w:eastAsia="宋体" w:cs="Times New Roman"/>
                <w:szCs w:val="21"/>
              </w:rPr>
              <w:t>7. CT成像部分可选择不同的重建方法，必须包括常见的BP(反投影)、FBP（滤波反投影），并能展示图像的重建过程；可选择不同的滤波类型，必须包括Ramp-Lak和Ramp+Sinc滤波选择，选择不同的滤波类型后，需能体现不同滤波器选择后的效果。</w:t>
            </w:r>
          </w:p>
          <w:p>
            <w:pPr>
              <w:autoSpaceDE w:val="0"/>
              <w:autoSpaceDN w:val="0"/>
              <w:adjustRightInd w:val="0"/>
              <w:spacing w:line="360" w:lineRule="auto"/>
              <w:jc w:val="left"/>
              <w:rPr>
                <w:rFonts w:ascii="宋体" w:hAnsi="宋体" w:eastAsia="宋体" w:cs="Times New Roman"/>
                <w:szCs w:val="21"/>
              </w:rPr>
            </w:pPr>
            <w:r>
              <w:rPr>
                <w:rFonts w:hint="eastAsia" w:ascii="宋体" w:hAnsi="宋体" w:eastAsia="宋体" w:cs="Times New Roman"/>
                <w:szCs w:val="21"/>
              </w:rPr>
              <w:t>★</w:t>
            </w:r>
            <w:r>
              <w:rPr>
                <w:rFonts w:ascii="宋体" w:hAnsi="宋体" w:eastAsia="宋体" w:cs="Times New Roman"/>
                <w:szCs w:val="21"/>
              </w:rPr>
              <w:t>8. CT成像部分可展示常见伪影的数据采集以及图像重建过程：其中包括探测器损坏或响应不一致（可设置任意不同位置的探测器坏道）、DAS增益不一致（可设置任意不同位置的探测器增益不稳）、金属异物（可设置样品内部任意位置处有金属）、球管打火（可设置任意不同角度数据采集时球管打火）等常见伪影功能，该部分功能非静态图像展示，必须体现出数据采集与图像重建的动态过程且相关成像参数可调并体现对伪影产生的影响（</w:t>
            </w:r>
            <w:r>
              <w:rPr>
                <w:rFonts w:hint="eastAsia" w:ascii="宋体" w:hAnsi="宋体" w:eastAsia="宋体" w:cs="Times New Roman"/>
                <w:szCs w:val="21"/>
              </w:rPr>
              <w:t>报价文件中提供至少一种伪影产生过程的原始数据正弦图与重建图像，相应图像需包括完整软件界面，非单独截图展示</w:t>
            </w:r>
            <w:r>
              <w:rPr>
                <w:rFonts w:ascii="宋体" w:hAnsi="宋体" w:eastAsia="宋体" w:cs="Times New Roman"/>
                <w:szCs w:val="21"/>
              </w:rPr>
              <w:t>）。</w:t>
            </w:r>
          </w:p>
          <w:p>
            <w:pPr>
              <w:autoSpaceDE w:val="0"/>
              <w:autoSpaceDN w:val="0"/>
              <w:adjustRightInd w:val="0"/>
              <w:spacing w:line="360" w:lineRule="auto"/>
              <w:jc w:val="left"/>
              <w:rPr>
                <w:rFonts w:ascii="宋体" w:hAnsi="宋体" w:eastAsia="宋体" w:cs="Times New Roman"/>
                <w:szCs w:val="21"/>
              </w:rPr>
            </w:pPr>
            <w:r>
              <w:rPr>
                <w:rFonts w:ascii="宋体" w:hAnsi="宋体" w:eastAsia="宋体" w:cs="Times New Roman"/>
                <w:szCs w:val="21"/>
              </w:rPr>
              <w:t>9. CT成像部分可动画展示球管与探测器运动过程。</w:t>
            </w:r>
          </w:p>
          <w:p>
            <w:pPr>
              <w:autoSpaceDE w:val="0"/>
              <w:autoSpaceDN w:val="0"/>
              <w:adjustRightInd w:val="0"/>
              <w:spacing w:line="360" w:lineRule="auto"/>
              <w:jc w:val="left"/>
              <w:rPr>
                <w:rFonts w:ascii="宋体" w:hAnsi="宋体" w:eastAsia="宋体" w:cs="Times New Roman"/>
                <w:szCs w:val="21"/>
              </w:rPr>
            </w:pPr>
            <w:r>
              <w:rPr>
                <w:rFonts w:ascii="宋体" w:hAnsi="宋体" w:eastAsia="宋体" w:cs="Times New Roman"/>
                <w:szCs w:val="21"/>
              </w:rPr>
              <w:t>10. CT成像部分可设置不同空间分辨率的重建图像，包括128*128，256*256，512*512，1024*1024。</w:t>
            </w:r>
          </w:p>
          <w:p>
            <w:pPr>
              <w:autoSpaceDE w:val="0"/>
              <w:autoSpaceDN w:val="0"/>
              <w:adjustRightInd w:val="0"/>
              <w:spacing w:line="360" w:lineRule="auto"/>
              <w:jc w:val="left"/>
              <w:rPr>
                <w:rFonts w:ascii="宋体" w:hAnsi="宋体" w:eastAsia="宋体" w:cs="Times New Roman"/>
                <w:szCs w:val="21"/>
              </w:rPr>
            </w:pPr>
            <w:r>
              <w:rPr>
                <w:rFonts w:ascii="宋体" w:hAnsi="宋体" w:eastAsia="宋体" w:cs="Times New Roman"/>
                <w:szCs w:val="21"/>
              </w:rPr>
              <w:t>11. MRI部分可动态显示原始数据采集和K空间填充过程。</w:t>
            </w:r>
          </w:p>
          <w:p>
            <w:pPr>
              <w:autoSpaceDE w:val="0"/>
              <w:autoSpaceDN w:val="0"/>
              <w:adjustRightInd w:val="0"/>
              <w:spacing w:line="360" w:lineRule="auto"/>
              <w:jc w:val="left"/>
              <w:rPr>
                <w:rFonts w:ascii="宋体" w:hAnsi="宋体" w:eastAsia="宋体" w:cs="Times New Roman"/>
                <w:szCs w:val="21"/>
              </w:rPr>
            </w:pPr>
            <w:r>
              <w:rPr>
                <w:rFonts w:ascii="宋体" w:hAnsi="宋体" w:eastAsia="宋体" w:cs="Times New Roman"/>
                <w:szCs w:val="21"/>
              </w:rPr>
              <w:t>12. MRI部分可开展中心频率确定，射频脉冲角度确定，有源匀场等实验。</w:t>
            </w:r>
          </w:p>
          <w:p>
            <w:pPr>
              <w:autoSpaceDE w:val="0"/>
              <w:autoSpaceDN w:val="0"/>
              <w:adjustRightInd w:val="0"/>
              <w:spacing w:line="360" w:lineRule="auto"/>
              <w:jc w:val="left"/>
              <w:rPr>
                <w:rFonts w:ascii="宋体" w:hAnsi="宋体" w:eastAsia="宋体" w:cs="Times New Roman"/>
                <w:szCs w:val="21"/>
              </w:rPr>
            </w:pPr>
            <w:r>
              <w:rPr>
                <w:rFonts w:hint="eastAsia" w:ascii="宋体" w:hAnsi="宋体" w:eastAsia="宋体" w:cs="Times New Roman"/>
                <w:szCs w:val="21"/>
              </w:rPr>
              <w:t>★</w:t>
            </w:r>
            <w:r>
              <w:rPr>
                <w:rFonts w:ascii="宋体" w:hAnsi="宋体" w:eastAsia="宋体" w:cs="Times New Roman"/>
                <w:szCs w:val="21"/>
              </w:rPr>
              <w:t>13. MRI部分可通过自旋回波序列（SE）成像，可调节频率编码梯度（Gx）、相位编码梯度（Gy）、相位编码时间（Dy）、回波时间（TE）、重复时间（TR）、采样带宽（SW）、单行采集点数（TD）、相位编码步数（NE）8种参数，</w:t>
            </w:r>
            <w:r>
              <w:rPr>
                <w:rFonts w:hint="eastAsia" w:ascii="宋体" w:hAnsi="宋体" w:eastAsia="宋体" w:cs="Times New Roman"/>
                <w:szCs w:val="21"/>
              </w:rPr>
              <w:t>报价文件中提供</w:t>
            </w:r>
            <w:r>
              <w:rPr>
                <w:rFonts w:ascii="宋体" w:hAnsi="宋体" w:eastAsia="宋体" w:cs="Times New Roman"/>
                <w:szCs w:val="21"/>
              </w:rPr>
              <w:t>体现相应参数</w:t>
            </w:r>
            <w:r>
              <w:rPr>
                <w:rFonts w:hint="eastAsia" w:ascii="宋体" w:hAnsi="宋体" w:eastAsia="宋体" w:cs="Times New Roman"/>
                <w:szCs w:val="21"/>
              </w:rPr>
              <w:t>的</w:t>
            </w:r>
            <w:r>
              <w:rPr>
                <w:rFonts w:ascii="宋体" w:hAnsi="宋体" w:eastAsia="宋体" w:cs="Times New Roman"/>
                <w:szCs w:val="21"/>
              </w:rPr>
              <w:t>图像。</w:t>
            </w:r>
          </w:p>
          <w:p>
            <w:pPr>
              <w:autoSpaceDE w:val="0"/>
              <w:autoSpaceDN w:val="0"/>
              <w:adjustRightInd w:val="0"/>
              <w:spacing w:line="360" w:lineRule="auto"/>
              <w:jc w:val="left"/>
              <w:rPr>
                <w:rFonts w:ascii="宋体" w:hAnsi="宋体" w:eastAsia="宋体" w:cs="Times New Roman"/>
                <w:szCs w:val="21"/>
              </w:rPr>
            </w:pPr>
            <w:r>
              <w:rPr>
                <w:rFonts w:ascii="宋体" w:hAnsi="宋体" w:eastAsia="宋体" w:cs="Times New Roman"/>
                <w:szCs w:val="21"/>
              </w:rPr>
              <w:t>14. MRI部分可显示模图像、相图像和实部图像。</w:t>
            </w:r>
          </w:p>
          <w:p>
            <w:pPr>
              <w:autoSpaceDE w:val="0"/>
              <w:autoSpaceDN w:val="0"/>
              <w:adjustRightInd w:val="0"/>
              <w:spacing w:line="360" w:lineRule="auto"/>
              <w:jc w:val="left"/>
              <w:rPr>
                <w:rFonts w:ascii="宋体" w:hAnsi="宋体" w:eastAsia="宋体" w:cs="Times New Roman"/>
                <w:szCs w:val="21"/>
              </w:rPr>
            </w:pPr>
            <w:r>
              <w:rPr>
                <w:rFonts w:ascii="宋体" w:hAnsi="宋体" w:eastAsia="宋体" w:cs="Times New Roman"/>
                <w:szCs w:val="21"/>
              </w:rPr>
              <w:t>15. MRI部分可选择全扫描与半扫描形式。</w:t>
            </w:r>
          </w:p>
          <w:p>
            <w:pPr>
              <w:autoSpaceDE w:val="0"/>
              <w:autoSpaceDN w:val="0"/>
              <w:adjustRightInd w:val="0"/>
              <w:spacing w:line="360" w:lineRule="auto"/>
              <w:jc w:val="left"/>
              <w:rPr>
                <w:rFonts w:ascii="宋体" w:hAnsi="宋体" w:eastAsia="宋体" w:cs="Times New Roman"/>
                <w:szCs w:val="21"/>
              </w:rPr>
            </w:pPr>
            <w:r>
              <w:rPr>
                <w:rFonts w:ascii="宋体" w:hAnsi="宋体" w:eastAsia="宋体" w:cs="Times New Roman"/>
                <w:szCs w:val="21"/>
              </w:rPr>
              <w:t>16. MRI部分可设置进床0位置；</w:t>
            </w:r>
          </w:p>
          <w:p>
            <w:pPr>
              <w:autoSpaceDE w:val="0"/>
              <w:autoSpaceDN w:val="0"/>
              <w:adjustRightInd w:val="0"/>
              <w:spacing w:line="360" w:lineRule="auto"/>
              <w:jc w:val="left"/>
              <w:rPr>
                <w:rFonts w:ascii="宋体" w:hAnsi="宋体" w:eastAsia="宋体" w:cs="Times New Roman"/>
                <w:szCs w:val="21"/>
              </w:rPr>
            </w:pPr>
            <w:r>
              <w:rPr>
                <w:rFonts w:ascii="宋体" w:hAnsi="宋体" w:eastAsia="宋体" w:cs="Times New Roman"/>
                <w:szCs w:val="21"/>
              </w:rPr>
              <w:t>17. MRI部分可实现一键进床到定位中心或从定位中心退出到0位置；</w:t>
            </w:r>
          </w:p>
          <w:p>
            <w:pPr>
              <w:autoSpaceDE w:val="0"/>
              <w:autoSpaceDN w:val="0"/>
              <w:adjustRightInd w:val="0"/>
              <w:spacing w:line="360" w:lineRule="auto"/>
              <w:jc w:val="left"/>
              <w:rPr>
                <w:rFonts w:ascii="宋体" w:hAnsi="宋体" w:eastAsia="宋体" w:cs="Times New Roman"/>
                <w:szCs w:val="21"/>
              </w:rPr>
            </w:pPr>
            <w:r>
              <w:rPr>
                <w:rFonts w:ascii="宋体" w:hAnsi="宋体" w:eastAsia="宋体" w:cs="Times New Roman"/>
                <w:szCs w:val="21"/>
              </w:rPr>
              <w:t>18. MRI部分可进行摆位操作：头颈部、胸腹部、髋关节、四肢的检查摆位，如头／脚先进，仰／俯卧等。</w:t>
            </w:r>
          </w:p>
          <w:p>
            <w:pPr>
              <w:autoSpaceDE w:val="0"/>
              <w:autoSpaceDN w:val="0"/>
              <w:adjustRightInd w:val="0"/>
              <w:spacing w:line="360" w:lineRule="auto"/>
              <w:jc w:val="left"/>
              <w:rPr>
                <w:rFonts w:ascii="宋体" w:hAnsi="宋体" w:eastAsia="宋体" w:cs="Times New Roman"/>
                <w:szCs w:val="21"/>
              </w:rPr>
            </w:pPr>
            <w:r>
              <w:rPr>
                <w:rFonts w:ascii="宋体" w:hAnsi="宋体" w:eastAsia="宋体" w:cs="Times New Roman"/>
                <w:szCs w:val="21"/>
              </w:rPr>
              <w:t>19.可选择10种模拟样品开展二维PET实验；</w:t>
            </w:r>
          </w:p>
          <w:p>
            <w:pPr>
              <w:autoSpaceDE w:val="0"/>
              <w:autoSpaceDN w:val="0"/>
              <w:adjustRightInd w:val="0"/>
              <w:spacing w:line="360" w:lineRule="auto"/>
              <w:jc w:val="left"/>
              <w:rPr>
                <w:rFonts w:ascii="宋体" w:hAnsi="宋体" w:eastAsia="宋体" w:cs="Times New Roman"/>
                <w:szCs w:val="21"/>
              </w:rPr>
            </w:pPr>
            <w:r>
              <w:rPr>
                <w:rFonts w:ascii="宋体" w:hAnsi="宋体" w:eastAsia="宋体" w:cs="Times New Roman"/>
                <w:szCs w:val="21"/>
              </w:rPr>
              <w:t>20.可动态显示PET原始采集数据正弦图的填充过程；</w:t>
            </w:r>
          </w:p>
          <w:p>
            <w:pPr>
              <w:autoSpaceDE w:val="0"/>
              <w:autoSpaceDN w:val="0"/>
              <w:adjustRightInd w:val="0"/>
              <w:spacing w:line="360" w:lineRule="auto"/>
              <w:jc w:val="left"/>
              <w:rPr>
                <w:rFonts w:ascii="宋体" w:hAnsi="宋体" w:eastAsia="宋体" w:cs="Times New Roman"/>
                <w:szCs w:val="21"/>
              </w:rPr>
            </w:pPr>
            <w:r>
              <w:rPr>
                <w:rFonts w:ascii="宋体" w:hAnsi="宋体" w:eastAsia="宋体" w:cs="Times New Roman"/>
                <w:szCs w:val="21"/>
              </w:rPr>
              <w:t>21.可动态显示PET图像重建的过程；</w:t>
            </w:r>
          </w:p>
          <w:p>
            <w:pPr>
              <w:autoSpaceDE w:val="0"/>
              <w:autoSpaceDN w:val="0"/>
              <w:adjustRightInd w:val="0"/>
              <w:spacing w:line="360" w:lineRule="auto"/>
              <w:jc w:val="left"/>
              <w:rPr>
                <w:rFonts w:ascii="宋体" w:hAnsi="宋体" w:eastAsia="宋体" w:cs="Times New Roman"/>
                <w:szCs w:val="21"/>
              </w:rPr>
            </w:pPr>
            <w:r>
              <w:rPr>
                <w:rFonts w:ascii="宋体" w:hAnsi="宋体" w:eastAsia="宋体" w:cs="Times New Roman"/>
                <w:szCs w:val="21"/>
              </w:rPr>
              <w:t>22.配有动画显示正电子发射、湮灭、光子传播和符合探测等全过程；</w:t>
            </w:r>
          </w:p>
          <w:p>
            <w:pPr>
              <w:autoSpaceDE w:val="0"/>
              <w:autoSpaceDN w:val="0"/>
              <w:adjustRightInd w:val="0"/>
              <w:spacing w:line="360" w:lineRule="auto"/>
              <w:jc w:val="left"/>
              <w:rPr>
                <w:rFonts w:ascii="宋体" w:hAnsi="宋体" w:eastAsia="宋体" w:cs="Times New Roman"/>
                <w:szCs w:val="21"/>
              </w:rPr>
            </w:pPr>
            <w:r>
              <w:rPr>
                <w:rFonts w:ascii="宋体" w:hAnsi="宋体" w:eastAsia="宋体" w:cs="Times New Roman"/>
                <w:szCs w:val="21"/>
              </w:rPr>
              <w:t>23.可任意设置探测器环半径、探测器尺寸、样品活度、扫描时间等采集参数；</w:t>
            </w:r>
          </w:p>
          <w:p>
            <w:pPr>
              <w:pStyle w:val="38"/>
              <w:rPr>
                <w:rFonts w:ascii="宋体" w:hAnsi="宋体" w:cs="宋体"/>
                <w:kern w:val="0"/>
                <w:sz w:val="21"/>
                <w:szCs w:val="21"/>
              </w:rPr>
            </w:pPr>
            <w:r>
              <w:rPr>
                <w:rFonts w:ascii="宋体" w:hAnsi="宋体"/>
                <w:sz w:val="21"/>
                <w:szCs w:val="21"/>
              </w:rPr>
              <w:t>24.可选择原始的BP或FBP算法进行重建图像。</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21" w:hRule="atLeast"/>
          <w:jc w:val="center"/>
        </w:trPr>
        <w:tc>
          <w:tcPr>
            <w:tcW w:w="8642" w:type="dxa"/>
            <w:gridSpan w:val="5"/>
            <w:tcBorders>
              <w:top w:val="single" w:color="auto" w:sz="4" w:space="0"/>
              <w:left w:val="single" w:color="auto" w:sz="4" w:space="0"/>
              <w:bottom w:val="single" w:color="auto" w:sz="4" w:space="0"/>
              <w:right w:val="single" w:color="auto" w:sz="4" w:space="0"/>
            </w:tcBorders>
            <w:vAlign w:val="center"/>
          </w:tcPr>
          <w:p>
            <w:pPr>
              <w:tabs>
                <w:tab w:val="left" w:pos="1820"/>
              </w:tabs>
              <w:spacing w:line="360" w:lineRule="auto"/>
              <w:rPr>
                <w:rFonts w:ascii="宋体" w:hAnsi="宋体" w:eastAsia="宋体" w:cs="宋体"/>
                <w:kern w:val="0"/>
                <w:szCs w:val="21"/>
              </w:rPr>
            </w:pPr>
            <w:r>
              <w:rPr>
                <w:rFonts w:hint="eastAsia" w:ascii="宋体" w:hAnsi="宋体" w:eastAsia="宋体" w:cs="宋体"/>
                <w:kern w:val="0"/>
                <w:szCs w:val="21"/>
              </w:rPr>
              <w:t>二、商务需求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71" w:hRule="atLeast"/>
          <w:jc w:val="center"/>
        </w:trPr>
        <w:tc>
          <w:tcPr>
            <w:tcW w:w="1554"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eastAsia="宋体" w:cs="宋体"/>
                <w:kern w:val="0"/>
                <w:szCs w:val="21"/>
              </w:rPr>
            </w:pPr>
            <w:r>
              <w:rPr>
                <w:rFonts w:hint="eastAsia" w:ascii="宋体" w:hAnsi="宋体" w:eastAsia="宋体"/>
                <w:szCs w:val="21"/>
              </w:rPr>
              <w:t>服务期限及地点</w:t>
            </w:r>
          </w:p>
        </w:tc>
        <w:tc>
          <w:tcPr>
            <w:tcW w:w="7088"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eastAsia="宋体" w:cs="宋体"/>
                <w:kern w:val="0"/>
                <w:szCs w:val="21"/>
              </w:rPr>
            </w:pPr>
            <w:r>
              <w:rPr>
                <w:rFonts w:ascii="宋体" w:hAnsi="宋体" w:eastAsia="宋体" w:cs="宋体"/>
                <w:kern w:val="0"/>
                <w:szCs w:val="21"/>
              </w:rPr>
              <w:t>1</w:t>
            </w:r>
            <w:r>
              <w:rPr>
                <w:rFonts w:hint="eastAsia" w:ascii="宋体" w:hAnsi="宋体" w:eastAsia="宋体" w:cs="宋体"/>
                <w:kern w:val="0"/>
                <w:szCs w:val="21"/>
              </w:rPr>
              <w:t>、服务期限</w:t>
            </w:r>
            <w:r>
              <w:rPr>
                <w:rFonts w:ascii="宋体" w:hAnsi="宋体" w:eastAsia="宋体" w:cs="宋体"/>
                <w:kern w:val="0"/>
                <w:szCs w:val="21"/>
              </w:rPr>
              <w:t xml:space="preserve"> </w:t>
            </w:r>
            <w:r>
              <w:rPr>
                <w:rFonts w:hint="eastAsia" w:ascii="宋体" w:hAnsi="宋体" w:eastAsia="宋体" w:cs="宋体"/>
                <w:kern w:val="0"/>
                <w:szCs w:val="21"/>
              </w:rPr>
              <w:t>：合同签订之日起10个工作日内。</w:t>
            </w:r>
          </w:p>
          <w:p>
            <w:pPr>
              <w:autoSpaceDE w:val="0"/>
              <w:autoSpaceDN w:val="0"/>
              <w:adjustRightInd w:val="0"/>
              <w:spacing w:line="360" w:lineRule="auto"/>
              <w:jc w:val="left"/>
              <w:rPr>
                <w:rFonts w:ascii="宋体" w:hAnsi="宋体" w:eastAsia="宋体" w:cs="宋体"/>
                <w:kern w:val="0"/>
                <w:szCs w:val="21"/>
              </w:rPr>
            </w:pPr>
            <w:r>
              <w:rPr>
                <w:rFonts w:hint="eastAsia" w:ascii="宋体" w:hAnsi="宋体" w:eastAsia="宋体" w:cs="宋体"/>
                <w:kern w:val="0"/>
                <w:szCs w:val="21"/>
              </w:rPr>
              <w:t>2、服务地点：广西中医药大学</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21" w:hRule="atLeast"/>
          <w:jc w:val="center"/>
        </w:trPr>
        <w:tc>
          <w:tcPr>
            <w:tcW w:w="1554"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eastAsia="宋体" w:cs="宋体"/>
                <w:kern w:val="0"/>
                <w:szCs w:val="21"/>
              </w:rPr>
            </w:pPr>
            <w:r>
              <w:rPr>
                <w:rFonts w:hint="eastAsia" w:ascii="宋体" w:hAnsi="宋体" w:eastAsia="宋体" w:cs="宋体"/>
                <w:kern w:val="0"/>
                <w:szCs w:val="21"/>
              </w:rPr>
              <w:t>付款</w:t>
            </w:r>
            <w:r>
              <w:rPr>
                <w:rFonts w:hint="eastAsia" w:ascii="宋体" w:hAnsi="宋体" w:eastAsia="宋体"/>
                <w:szCs w:val="21"/>
              </w:rPr>
              <w:t>条件</w:t>
            </w:r>
          </w:p>
        </w:tc>
        <w:tc>
          <w:tcPr>
            <w:tcW w:w="7088" w:type="dxa"/>
            <w:gridSpan w:val="3"/>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eastAsia="宋体" w:cs="宋体"/>
                <w:kern w:val="1"/>
                <w:szCs w:val="21"/>
              </w:rPr>
            </w:pPr>
            <w:r>
              <w:rPr>
                <w:rFonts w:hint="eastAsia" w:ascii="宋体" w:hAnsi="宋体" w:eastAsia="宋体" w:cs="宋体"/>
                <w:kern w:val="1"/>
                <w:szCs w:val="21"/>
              </w:rPr>
              <w:t>合同约定时间完成任务，采购人在15个工作日内凭供应商开具的全额发票，一次性付清全部费用。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21" w:hRule="atLeast"/>
          <w:jc w:val="center"/>
        </w:trPr>
        <w:tc>
          <w:tcPr>
            <w:tcW w:w="8642" w:type="dxa"/>
            <w:gridSpan w:val="5"/>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eastAsia="宋体" w:cs="宋体"/>
                <w:kern w:val="0"/>
                <w:szCs w:val="21"/>
              </w:rPr>
            </w:pPr>
            <w:r>
              <w:rPr>
                <w:rFonts w:hint="eastAsia" w:ascii="宋体" w:hAnsi="宋体" w:eastAsia="宋体" w:cs="TimesNewRomanPSMT"/>
                <w:b/>
                <w:kern w:val="0"/>
                <w:szCs w:val="21"/>
              </w:rPr>
              <w:t>三、其他要求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33" w:hRule="atLeast"/>
          <w:jc w:val="center"/>
        </w:trPr>
        <w:tc>
          <w:tcPr>
            <w:tcW w:w="1554"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eastAsia="宋体" w:cs="TimesNewRomanPSMT"/>
                <w:kern w:val="0"/>
                <w:szCs w:val="21"/>
              </w:rPr>
            </w:pPr>
          </w:p>
        </w:tc>
        <w:tc>
          <w:tcPr>
            <w:tcW w:w="7088" w:type="dxa"/>
            <w:gridSpan w:val="3"/>
            <w:tcBorders>
              <w:top w:val="single" w:color="auto" w:sz="4" w:space="0"/>
              <w:left w:val="single" w:color="auto" w:sz="4" w:space="0"/>
              <w:bottom w:val="single" w:color="auto" w:sz="4" w:space="0"/>
              <w:right w:val="single" w:color="auto" w:sz="4" w:space="0"/>
            </w:tcBorders>
            <w:vAlign w:val="center"/>
          </w:tcPr>
          <w:p>
            <w:pPr>
              <w:pStyle w:val="38"/>
              <w:rPr>
                <w:rFonts w:ascii="宋体" w:hAnsi="宋体" w:cstheme="minorEastAsia"/>
                <w:b/>
                <w:bCs/>
                <w:sz w:val="21"/>
                <w:szCs w:val="21"/>
              </w:rPr>
            </w:pPr>
            <w:r>
              <w:rPr>
                <w:rFonts w:hint="eastAsia" w:ascii="宋体" w:hAnsi="宋体" w:cstheme="minorEastAsia"/>
                <w:b/>
                <w:bCs/>
                <w:sz w:val="21"/>
                <w:szCs w:val="21"/>
              </w:rPr>
              <w:t>▲1、10个工作日内完成供货。</w:t>
            </w:r>
          </w:p>
          <w:p>
            <w:pPr>
              <w:pStyle w:val="38"/>
              <w:rPr>
                <w:rFonts w:ascii="宋体" w:hAnsi="宋体" w:cstheme="minorEastAsia"/>
                <w:b/>
                <w:bCs/>
                <w:sz w:val="21"/>
                <w:szCs w:val="21"/>
              </w:rPr>
            </w:pPr>
            <w:r>
              <w:rPr>
                <w:rFonts w:hint="eastAsia" w:ascii="宋体" w:hAnsi="宋体" w:cstheme="minorEastAsia"/>
                <w:b/>
                <w:bCs/>
                <w:sz w:val="21"/>
                <w:szCs w:val="21"/>
              </w:rPr>
              <w:t>▲2、本项目按服务费用内进行报价，报价必须含以下部分：①采用全包方式即合同金额，包括一切施工设备、人工费、各种保险费、税费等一切费用。</w:t>
            </w:r>
          </w:p>
          <w:p>
            <w:pPr>
              <w:pStyle w:val="38"/>
              <w:rPr>
                <w:rFonts w:ascii="宋体" w:hAnsi="宋体" w:cstheme="minorEastAsia"/>
                <w:b/>
                <w:bCs/>
                <w:sz w:val="21"/>
                <w:szCs w:val="21"/>
              </w:rPr>
            </w:pPr>
            <w:r>
              <w:rPr>
                <w:rFonts w:hint="eastAsia" w:ascii="宋体" w:hAnsi="宋体" w:cstheme="minorEastAsia"/>
                <w:b/>
                <w:bCs/>
                <w:sz w:val="21"/>
                <w:szCs w:val="21"/>
              </w:rPr>
              <w:t>▲3、供应商应采取合理措施保障服务的安全性，自愿承担一切风险和责任。如因检测中可能遭受的任何纠纷或损失应当由供应商承担全部责任。</w:t>
            </w:r>
          </w:p>
          <w:p>
            <w:pPr>
              <w:pStyle w:val="38"/>
              <w:rPr>
                <w:rFonts w:ascii="宋体" w:hAnsi="宋体" w:cstheme="minorEastAsia"/>
                <w:b/>
                <w:bCs/>
                <w:sz w:val="21"/>
                <w:szCs w:val="21"/>
              </w:rPr>
            </w:pPr>
            <w:r>
              <w:rPr>
                <w:rFonts w:hint="eastAsia" w:ascii="宋体" w:hAnsi="宋体" w:cstheme="minorEastAsia"/>
                <w:b/>
                <w:bCs/>
                <w:sz w:val="21"/>
                <w:szCs w:val="21"/>
              </w:rPr>
              <w:t>▲4、供应商应充分考虑供货成本及参数要求再进行报价，如供应商低价恶意竞价、且成交后无法按要求提供货物或者所供货物及资质要求无法满足参数要求的，采购人将按虚假竞标处理，并保留因耽误采购人使用时间造成的损失进行赔偿的权利，追究投标人的法律责任，由此引发的一切后果由投标人承担。</w:t>
            </w:r>
          </w:p>
          <w:p>
            <w:pPr>
              <w:pStyle w:val="38"/>
              <w:numPr>
                <w:ilvl w:val="0"/>
                <w:numId w:val="1"/>
              </w:numPr>
              <w:rPr>
                <w:rFonts w:ascii="宋体" w:hAnsi="宋体" w:cstheme="minorBidi"/>
                <w:b/>
                <w:bCs/>
                <w:sz w:val="21"/>
                <w:szCs w:val="21"/>
              </w:rPr>
            </w:pPr>
            <w:r>
              <w:rPr>
                <w:rFonts w:ascii="宋体" w:hAnsi="宋体" w:cstheme="minorBidi"/>
                <w:b/>
                <w:bCs/>
                <w:sz w:val="21"/>
                <w:szCs w:val="21"/>
              </w:rPr>
              <w:t>售后服务要求</w:t>
            </w:r>
          </w:p>
          <w:p>
            <w:pPr>
              <w:pStyle w:val="38"/>
              <w:rPr>
                <w:rFonts w:ascii="宋体" w:hAnsi="宋体" w:cstheme="minorBidi"/>
                <w:b/>
                <w:bCs/>
                <w:sz w:val="21"/>
                <w:szCs w:val="21"/>
              </w:rPr>
            </w:pPr>
            <w:r>
              <w:rPr>
                <w:rFonts w:hint="eastAsia" w:ascii="宋体" w:hAnsi="宋体" w:cstheme="minorBidi"/>
                <w:b/>
                <w:bCs/>
                <w:sz w:val="21"/>
                <w:szCs w:val="21"/>
              </w:rPr>
              <w:t>（1）培训要求</w:t>
            </w:r>
          </w:p>
          <w:p>
            <w:pPr>
              <w:pStyle w:val="38"/>
              <w:rPr>
                <w:rFonts w:ascii="宋体" w:hAnsi="宋体" w:cstheme="minorBidi"/>
                <w:b/>
                <w:bCs/>
                <w:sz w:val="21"/>
                <w:szCs w:val="21"/>
              </w:rPr>
            </w:pPr>
            <w:r>
              <w:rPr>
                <w:rFonts w:ascii="宋体" w:hAnsi="宋体" w:cstheme="minorBidi"/>
                <w:b/>
                <w:bCs/>
                <w:sz w:val="21"/>
                <w:szCs w:val="21"/>
              </w:rPr>
              <w:t>1</w:t>
            </w:r>
            <w:r>
              <w:rPr>
                <w:rFonts w:hint="eastAsia" w:ascii="宋体" w:hAnsi="宋体" w:cstheme="minorBidi"/>
                <w:b/>
                <w:bCs/>
                <w:sz w:val="21"/>
                <w:szCs w:val="21"/>
              </w:rPr>
              <w:t>）中标人应对采购人的操作人员、维修人员免费进行培训。</w:t>
            </w:r>
          </w:p>
          <w:p>
            <w:pPr>
              <w:pStyle w:val="38"/>
              <w:rPr>
                <w:rFonts w:ascii="宋体" w:hAnsi="宋体" w:cstheme="minorBidi"/>
                <w:b/>
                <w:bCs/>
                <w:sz w:val="21"/>
                <w:szCs w:val="21"/>
              </w:rPr>
            </w:pPr>
            <w:r>
              <w:rPr>
                <w:rFonts w:ascii="宋体" w:hAnsi="宋体" w:cstheme="minorBidi"/>
                <w:b/>
                <w:bCs/>
                <w:sz w:val="21"/>
                <w:szCs w:val="21"/>
              </w:rPr>
              <w:t>2</w:t>
            </w:r>
            <w:r>
              <w:rPr>
                <w:rFonts w:hint="eastAsia" w:ascii="宋体" w:hAnsi="宋体" w:cstheme="minorBidi"/>
                <w:b/>
                <w:bCs/>
                <w:sz w:val="21"/>
                <w:szCs w:val="21"/>
              </w:rPr>
              <w:t>）中标人应提供相应的培训计划。</w:t>
            </w:r>
          </w:p>
          <w:p>
            <w:pPr>
              <w:pStyle w:val="38"/>
              <w:rPr>
                <w:rFonts w:ascii="宋体" w:hAnsi="宋体" w:cstheme="minorBidi"/>
                <w:b/>
                <w:bCs/>
                <w:sz w:val="21"/>
                <w:szCs w:val="21"/>
              </w:rPr>
            </w:pPr>
            <w:r>
              <w:rPr>
                <w:rFonts w:hint="eastAsia" w:ascii="宋体" w:hAnsi="宋体" w:cstheme="minorBidi"/>
                <w:b/>
                <w:bCs/>
                <w:sz w:val="21"/>
                <w:szCs w:val="21"/>
              </w:rPr>
              <w:t>（2）维修响应及故障解决时间</w:t>
            </w:r>
          </w:p>
          <w:p>
            <w:pPr>
              <w:pStyle w:val="38"/>
              <w:rPr>
                <w:rFonts w:ascii="宋体" w:hAnsi="宋体" w:cstheme="minorBidi"/>
                <w:b/>
                <w:bCs/>
                <w:sz w:val="21"/>
                <w:szCs w:val="21"/>
              </w:rPr>
            </w:pPr>
            <w:r>
              <w:rPr>
                <w:rFonts w:hint="eastAsia" w:ascii="宋体" w:hAnsi="宋体" w:cstheme="minorBidi"/>
                <w:b/>
                <w:bCs/>
                <w:sz w:val="21"/>
                <w:szCs w:val="21"/>
              </w:rPr>
              <w:t>提供7×24小时设备报修电话及联系人，招标人报修后，【2】小时内响应，优先远程解决问题，远程无法解决的，【48】小时内派员上门现场维护，并在【8】小时内解决问题，如在规定时间内不能解决设备故障，应提供相同档次、功能的设备给招标人代用。</w:t>
            </w:r>
          </w:p>
          <w:p>
            <w:pPr>
              <w:pStyle w:val="38"/>
              <w:rPr>
                <w:rFonts w:ascii="宋体" w:hAnsi="宋体" w:cstheme="minorBidi"/>
                <w:b/>
                <w:bCs/>
                <w:sz w:val="21"/>
                <w:szCs w:val="21"/>
              </w:rPr>
            </w:pPr>
            <w:r>
              <w:rPr>
                <w:rFonts w:hint="eastAsia" w:ascii="宋体" w:hAnsi="宋体" w:cstheme="minorBidi"/>
                <w:b/>
                <w:bCs/>
                <w:sz w:val="21"/>
                <w:szCs w:val="21"/>
              </w:rPr>
              <w:t>（3）关于免费保修期</w:t>
            </w:r>
          </w:p>
          <w:p>
            <w:pPr>
              <w:pStyle w:val="38"/>
              <w:rPr>
                <w:rFonts w:ascii="宋体" w:hAnsi="宋体" w:cstheme="minorBidi"/>
                <w:b/>
                <w:bCs/>
                <w:sz w:val="21"/>
                <w:szCs w:val="21"/>
              </w:rPr>
            </w:pPr>
            <w:r>
              <w:rPr>
                <w:rFonts w:ascii="宋体" w:hAnsi="宋体" w:cstheme="minorBidi"/>
                <w:b/>
                <w:bCs/>
                <w:sz w:val="21"/>
                <w:szCs w:val="21"/>
              </w:rPr>
              <w:t>1</w:t>
            </w:r>
            <w:r>
              <w:rPr>
                <w:rFonts w:hint="eastAsia" w:ascii="宋体" w:hAnsi="宋体" w:cstheme="minorBidi"/>
                <w:b/>
                <w:bCs/>
                <w:sz w:val="21"/>
                <w:szCs w:val="21"/>
              </w:rPr>
              <w:t>）中标人提供制造商免费质保【3】年。时间自最终验收合格并交付使用之日起计算。</w:t>
            </w:r>
          </w:p>
          <w:p>
            <w:pPr>
              <w:pStyle w:val="38"/>
              <w:rPr>
                <w:rFonts w:ascii="宋体" w:hAnsi="宋体" w:cstheme="minorBidi"/>
                <w:b/>
                <w:bCs/>
                <w:sz w:val="21"/>
                <w:szCs w:val="21"/>
              </w:rPr>
            </w:pPr>
            <w:r>
              <w:rPr>
                <w:rFonts w:ascii="宋体" w:hAnsi="宋体" w:cstheme="minorBidi"/>
                <w:b/>
                <w:bCs/>
                <w:sz w:val="21"/>
                <w:szCs w:val="21"/>
              </w:rPr>
              <w:t>2</w:t>
            </w:r>
            <w:r>
              <w:rPr>
                <w:rFonts w:hint="eastAsia" w:ascii="宋体" w:hAnsi="宋体" w:cstheme="minorBidi"/>
                <w:b/>
                <w:bCs/>
                <w:sz w:val="21"/>
                <w:szCs w:val="21"/>
              </w:rPr>
              <w:t>）维保期内，在非人为损坏的情况下出现故障，所有系统修复服务均为原厂技术人员免费服务。</w:t>
            </w:r>
          </w:p>
          <w:p>
            <w:pPr>
              <w:pStyle w:val="38"/>
              <w:rPr>
                <w:rFonts w:ascii="宋体" w:hAnsi="宋体" w:cstheme="minorBidi"/>
                <w:b/>
                <w:bCs/>
                <w:sz w:val="21"/>
                <w:szCs w:val="21"/>
              </w:rPr>
            </w:pPr>
            <w:r>
              <w:rPr>
                <w:rFonts w:hint="eastAsia" w:ascii="宋体" w:hAnsi="宋体" w:cstheme="minorEastAsia"/>
                <w:b/>
                <w:bCs/>
                <w:sz w:val="21"/>
                <w:szCs w:val="21"/>
              </w:rPr>
              <w:t>▲</w:t>
            </w:r>
            <w:r>
              <w:rPr>
                <w:rFonts w:hint="eastAsia" w:ascii="宋体" w:hAnsi="宋体" w:cstheme="minorBidi"/>
                <w:b/>
                <w:bCs/>
                <w:sz w:val="21"/>
                <w:szCs w:val="21"/>
              </w:rPr>
              <w:t>6、非厂家必须出示厂家原厂授权书。</w:t>
            </w:r>
          </w:p>
          <w:p>
            <w:pPr>
              <w:pStyle w:val="38"/>
              <w:rPr>
                <w:rFonts w:ascii="宋体" w:hAnsi="宋体" w:cstheme="minorBidi"/>
                <w:b/>
                <w:bCs/>
                <w:sz w:val="21"/>
                <w:szCs w:val="21"/>
              </w:rPr>
            </w:pPr>
            <w:r>
              <w:rPr>
                <w:rFonts w:hint="eastAsia" w:ascii="宋体" w:hAnsi="宋体" w:cstheme="minorEastAsia"/>
                <w:b/>
                <w:bCs/>
                <w:sz w:val="21"/>
                <w:szCs w:val="21"/>
              </w:rPr>
              <w:t>▲</w:t>
            </w:r>
            <w:r>
              <w:rPr>
                <w:rFonts w:hint="eastAsia" w:ascii="宋体" w:hAnsi="宋体" w:cstheme="minorBidi"/>
                <w:b/>
                <w:bCs/>
                <w:sz w:val="21"/>
                <w:szCs w:val="21"/>
              </w:rPr>
              <w:t>7、供应商须提供原厂售后服务承诺函。</w:t>
            </w:r>
          </w:p>
        </w:tc>
      </w:tr>
    </w:tbl>
    <w:p>
      <w:pPr>
        <w:pStyle w:val="10"/>
        <w:widowControl/>
        <w:spacing w:after="452" w:line="555" w:lineRule="atLeast"/>
        <w:rPr>
          <w:rStyle w:val="12"/>
          <w:rFonts w:ascii="黑体" w:hAnsi="宋体" w:eastAsia="黑体" w:cs="黑体"/>
          <w:color w:val="333333"/>
          <w:sz w:val="28"/>
          <w:szCs w:val="28"/>
          <w:shd w:val="clear" w:color="auto" w:fill="FFFFFF"/>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Cordia New">
    <w:panose1 w:val="020B0304020202020204"/>
    <w:charset w:val="DE"/>
    <w:family w:val="swiss"/>
    <w:pitch w:val="default"/>
    <w:sig w:usb0="81000003" w:usb1="00000000" w:usb2="00000000" w:usb3="00000000" w:csb0="00010001" w:csb1="00000000"/>
  </w:font>
  <w:font w:name="Courier New">
    <w:panose1 w:val="02070309020205020404"/>
    <w:charset w:val="00"/>
    <w:family w:val="modern"/>
    <w:pitch w:val="default"/>
    <w:sig w:usb0="E0002AFF" w:usb1="C0007843" w:usb2="00000009" w:usb3="00000000" w:csb0="400001FF" w:csb1="FFFF0000"/>
  </w:font>
  <w:font w:name="等线">
    <w:altName w:val="宋体"/>
    <w:panose1 w:val="02010600030101010101"/>
    <w:charset w:val="86"/>
    <w:family w:val="auto"/>
    <w:pitch w:val="default"/>
    <w:sig w:usb0="00000000" w:usb1="00000000" w:usb2="00000016" w:usb3="00000000" w:csb0="0004000F" w:csb1="00000000"/>
  </w:font>
  <w:font w:name="Tahoma">
    <w:panose1 w:val="020B0604030504040204"/>
    <w:charset w:val="00"/>
    <w:family w:val="swiss"/>
    <w:pitch w:val="default"/>
    <w:sig w:usb0="E1002EFF" w:usb1="C000605B" w:usb2="00000029" w:usb3="00000000" w:csb0="200101FF" w:csb1="20280000"/>
  </w:font>
  <w:font w:name="TimesNewRomanPSMT">
    <w:altName w:val="Times New Roman"/>
    <w:panose1 w:val="00000000000000000000"/>
    <w:charset w:val="86"/>
    <w:family w:val="auto"/>
    <w:pitch w:val="default"/>
    <w:sig w:usb0="00000000" w:usb1="00000000" w:usb2="00000010" w:usb3="00000000" w:csb0="00040000" w:csb1="00000000"/>
  </w:font>
  <w:font w:name="Calibri Light">
    <w:panose1 w:val="020F0302020204030204"/>
    <w:charset w:val="00"/>
    <w:family w:val="swiss"/>
    <w:pitch w:val="default"/>
    <w:sig w:usb0="A00002EF" w:usb1="4000207B" w:usb2="00000000" w:usb3="00000000" w:csb0="2000019F" w:csb1="00000000"/>
  </w:font>
  <w:font w:name="Angsana New">
    <w:panose1 w:val="02020603050405020304"/>
    <w:charset w:val="DE"/>
    <w:family w:val="roman"/>
    <w:pitch w:val="default"/>
    <w:sig w:usb0="81000003" w:usb1="00000000" w:usb2="00000000" w:usb3="00000000" w:csb0="00010001" w:csb1="00000000"/>
  </w:font>
  <w:font w:name="Arial">
    <w:panose1 w:val="020B0604020202020204"/>
    <w:charset w:val="00"/>
    <w:family w:val="auto"/>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84099594"/>
    </w:sdtPr>
    <w:sdtContent>
      <w:sdt>
        <w:sdtPr>
          <w:id w:val="171357217"/>
        </w:sdtPr>
        <w:sdtContent>
          <w:p>
            <w:pPr>
              <w:pStyle w:val="8"/>
              <w:jc w:val="center"/>
            </w:pPr>
            <w:r>
              <w:rPr>
                <w:b/>
                <w:sz w:val="24"/>
                <w:szCs w:val="24"/>
              </w:rPr>
              <w:fldChar w:fldCharType="begin"/>
            </w:r>
            <w:r>
              <w:rPr>
                <w:b/>
              </w:rPr>
              <w:instrText xml:space="preserve">PAGE</w:instrText>
            </w:r>
            <w:r>
              <w:rPr>
                <w:b/>
                <w:sz w:val="24"/>
                <w:szCs w:val="24"/>
              </w:rPr>
              <w:fldChar w:fldCharType="separate"/>
            </w:r>
            <w:r>
              <w:rPr>
                <w:b/>
                <w:sz w:val="24"/>
                <w:szCs w:val="24"/>
              </w:rPr>
              <w:t>7</w:t>
            </w:r>
            <w:r>
              <w:rPr>
                <w:b/>
                <w:sz w:val="24"/>
                <w:szCs w:val="24"/>
              </w:rPr>
              <w:fldChar w:fldCharType="end"/>
            </w:r>
          </w:p>
        </w:sdtContent>
      </w:sdt>
    </w:sdtContent>
  </w:sdt>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59B5EB"/>
    <w:multiLevelType w:val="singleLevel"/>
    <w:tmpl w:val="5559B5EB"/>
    <w:lvl w:ilvl="0" w:tentative="0">
      <w:start w:val="5"/>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QxNDc4OWI5MmZmMDNkMzc3OGFmYTc3NTFiZTQ4NGYifQ=="/>
  </w:docVars>
  <w:rsids>
    <w:rsidRoot w:val="52D653D6"/>
    <w:rsid w:val="00002994"/>
    <w:rsid w:val="000102D3"/>
    <w:rsid w:val="0001736C"/>
    <w:rsid w:val="00021BD6"/>
    <w:rsid w:val="000408C1"/>
    <w:rsid w:val="00047C0E"/>
    <w:rsid w:val="00056B5E"/>
    <w:rsid w:val="000808B9"/>
    <w:rsid w:val="00082409"/>
    <w:rsid w:val="00082EF6"/>
    <w:rsid w:val="00087E6F"/>
    <w:rsid w:val="00092BBF"/>
    <w:rsid w:val="000953D5"/>
    <w:rsid w:val="000A3D19"/>
    <w:rsid w:val="000A5D39"/>
    <w:rsid w:val="000C4E31"/>
    <w:rsid w:val="000E64E3"/>
    <w:rsid w:val="0010348A"/>
    <w:rsid w:val="00110A81"/>
    <w:rsid w:val="00127AFC"/>
    <w:rsid w:val="00133620"/>
    <w:rsid w:val="00137C27"/>
    <w:rsid w:val="001432D8"/>
    <w:rsid w:val="00150216"/>
    <w:rsid w:val="00156346"/>
    <w:rsid w:val="0017414C"/>
    <w:rsid w:val="00191EED"/>
    <w:rsid w:val="001B37D8"/>
    <w:rsid w:val="001C0A0B"/>
    <w:rsid w:val="001C5E3E"/>
    <w:rsid w:val="001D0CC4"/>
    <w:rsid w:val="001D3CF7"/>
    <w:rsid w:val="001D40D9"/>
    <w:rsid w:val="001E6732"/>
    <w:rsid w:val="001F1305"/>
    <w:rsid w:val="00204020"/>
    <w:rsid w:val="002310AC"/>
    <w:rsid w:val="00232C58"/>
    <w:rsid w:val="0025057F"/>
    <w:rsid w:val="00253517"/>
    <w:rsid w:val="00253977"/>
    <w:rsid w:val="002562E1"/>
    <w:rsid w:val="00266758"/>
    <w:rsid w:val="0027639E"/>
    <w:rsid w:val="002A648D"/>
    <w:rsid w:val="002C48D1"/>
    <w:rsid w:val="00312577"/>
    <w:rsid w:val="00351A5E"/>
    <w:rsid w:val="00361EE9"/>
    <w:rsid w:val="003D1DCB"/>
    <w:rsid w:val="003D7CA4"/>
    <w:rsid w:val="00401437"/>
    <w:rsid w:val="004054B2"/>
    <w:rsid w:val="004071AF"/>
    <w:rsid w:val="0040787D"/>
    <w:rsid w:val="004167FA"/>
    <w:rsid w:val="00431E0E"/>
    <w:rsid w:val="00435453"/>
    <w:rsid w:val="00474A3B"/>
    <w:rsid w:val="0048288D"/>
    <w:rsid w:val="0048565F"/>
    <w:rsid w:val="004D446A"/>
    <w:rsid w:val="004D6593"/>
    <w:rsid w:val="004E3B7E"/>
    <w:rsid w:val="004E5F3B"/>
    <w:rsid w:val="00501668"/>
    <w:rsid w:val="00507D81"/>
    <w:rsid w:val="005166BE"/>
    <w:rsid w:val="0052249A"/>
    <w:rsid w:val="00547DDF"/>
    <w:rsid w:val="0055287B"/>
    <w:rsid w:val="005650B2"/>
    <w:rsid w:val="00574A1C"/>
    <w:rsid w:val="0058760A"/>
    <w:rsid w:val="005C6044"/>
    <w:rsid w:val="005C6D2A"/>
    <w:rsid w:val="005E1921"/>
    <w:rsid w:val="005E27EF"/>
    <w:rsid w:val="005E4818"/>
    <w:rsid w:val="005E4C14"/>
    <w:rsid w:val="005E4ECB"/>
    <w:rsid w:val="00603052"/>
    <w:rsid w:val="006128DF"/>
    <w:rsid w:val="00624C0D"/>
    <w:rsid w:val="00651D11"/>
    <w:rsid w:val="00660F53"/>
    <w:rsid w:val="00681F69"/>
    <w:rsid w:val="0069296A"/>
    <w:rsid w:val="006A25DB"/>
    <w:rsid w:val="006A4493"/>
    <w:rsid w:val="006C62A8"/>
    <w:rsid w:val="006D028E"/>
    <w:rsid w:val="006D1F21"/>
    <w:rsid w:val="006E0179"/>
    <w:rsid w:val="006E297E"/>
    <w:rsid w:val="006E3CF1"/>
    <w:rsid w:val="006E6C19"/>
    <w:rsid w:val="007053BA"/>
    <w:rsid w:val="00710C8F"/>
    <w:rsid w:val="007270EA"/>
    <w:rsid w:val="00733E15"/>
    <w:rsid w:val="0075181E"/>
    <w:rsid w:val="007828C7"/>
    <w:rsid w:val="007942C7"/>
    <w:rsid w:val="007A1450"/>
    <w:rsid w:val="007A4C72"/>
    <w:rsid w:val="007B21E3"/>
    <w:rsid w:val="007B4626"/>
    <w:rsid w:val="007C409B"/>
    <w:rsid w:val="007C5205"/>
    <w:rsid w:val="00801CC6"/>
    <w:rsid w:val="0080519D"/>
    <w:rsid w:val="00830BFD"/>
    <w:rsid w:val="00835CD1"/>
    <w:rsid w:val="00853064"/>
    <w:rsid w:val="00857045"/>
    <w:rsid w:val="0086357E"/>
    <w:rsid w:val="00871030"/>
    <w:rsid w:val="0088370F"/>
    <w:rsid w:val="0089185C"/>
    <w:rsid w:val="008B090F"/>
    <w:rsid w:val="008D14DD"/>
    <w:rsid w:val="008D28D6"/>
    <w:rsid w:val="008E356A"/>
    <w:rsid w:val="008E6872"/>
    <w:rsid w:val="008F2BB9"/>
    <w:rsid w:val="00920FB0"/>
    <w:rsid w:val="00921188"/>
    <w:rsid w:val="009254E6"/>
    <w:rsid w:val="00933947"/>
    <w:rsid w:val="00933A09"/>
    <w:rsid w:val="00954DF6"/>
    <w:rsid w:val="00973544"/>
    <w:rsid w:val="00976B0B"/>
    <w:rsid w:val="00980C1A"/>
    <w:rsid w:val="00991123"/>
    <w:rsid w:val="009A0E5A"/>
    <w:rsid w:val="009A4990"/>
    <w:rsid w:val="009E24CA"/>
    <w:rsid w:val="009E40CD"/>
    <w:rsid w:val="009E469C"/>
    <w:rsid w:val="00A173CF"/>
    <w:rsid w:val="00A25973"/>
    <w:rsid w:val="00A31597"/>
    <w:rsid w:val="00A80C37"/>
    <w:rsid w:val="00A82D07"/>
    <w:rsid w:val="00A86CD0"/>
    <w:rsid w:val="00A91344"/>
    <w:rsid w:val="00AC4CAC"/>
    <w:rsid w:val="00AC7DAE"/>
    <w:rsid w:val="00AD3300"/>
    <w:rsid w:val="00B07709"/>
    <w:rsid w:val="00B11EDA"/>
    <w:rsid w:val="00B12D00"/>
    <w:rsid w:val="00B17646"/>
    <w:rsid w:val="00B25E09"/>
    <w:rsid w:val="00B65978"/>
    <w:rsid w:val="00B81F9C"/>
    <w:rsid w:val="00B86469"/>
    <w:rsid w:val="00B95E1D"/>
    <w:rsid w:val="00B96A3E"/>
    <w:rsid w:val="00BB058F"/>
    <w:rsid w:val="00BB208F"/>
    <w:rsid w:val="00BD325C"/>
    <w:rsid w:val="00BD4895"/>
    <w:rsid w:val="00BD6001"/>
    <w:rsid w:val="00BE601F"/>
    <w:rsid w:val="00BF406C"/>
    <w:rsid w:val="00BF531C"/>
    <w:rsid w:val="00C14009"/>
    <w:rsid w:val="00C30E63"/>
    <w:rsid w:val="00C671A9"/>
    <w:rsid w:val="00C75936"/>
    <w:rsid w:val="00C81107"/>
    <w:rsid w:val="00C92655"/>
    <w:rsid w:val="00C936F2"/>
    <w:rsid w:val="00CB26C2"/>
    <w:rsid w:val="00CB595D"/>
    <w:rsid w:val="00CC33C2"/>
    <w:rsid w:val="00CE11B5"/>
    <w:rsid w:val="00CF4136"/>
    <w:rsid w:val="00CF77EF"/>
    <w:rsid w:val="00D13A3C"/>
    <w:rsid w:val="00D1458B"/>
    <w:rsid w:val="00D20611"/>
    <w:rsid w:val="00D24B5D"/>
    <w:rsid w:val="00D26932"/>
    <w:rsid w:val="00D30A13"/>
    <w:rsid w:val="00D36B28"/>
    <w:rsid w:val="00D44D05"/>
    <w:rsid w:val="00D457A7"/>
    <w:rsid w:val="00D71E77"/>
    <w:rsid w:val="00D84986"/>
    <w:rsid w:val="00D9050C"/>
    <w:rsid w:val="00DC72FA"/>
    <w:rsid w:val="00DE3942"/>
    <w:rsid w:val="00DE62C0"/>
    <w:rsid w:val="00DF3090"/>
    <w:rsid w:val="00DF3C24"/>
    <w:rsid w:val="00E0409A"/>
    <w:rsid w:val="00E11FB9"/>
    <w:rsid w:val="00E12ED2"/>
    <w:rsid w:val="00E25AAB"/>
    <w:rsid w:val="00E44071"/>
    <w:rsid w:val="00E4439D"/>
    <w:rsid w:val="00E72E28"/>
    <w:rsid w:val="00EB7ADE"/>
    <w:rsid w:val="00EC277A"/>
    <w:rsid w:val="00EE293F"/>
    <w:rsid w:val="00EE355B"/>
    <w:rsid w:val="00EE6160"/>
    <w:rsid w:val="00EF299F"/>
    <w:rsid w:val="00EF6487"/>
    <w:rsid w:val="00F20CDC"/>
    <w:rsid w:val="00F24410"/>
    <w:rsid w:val="00F25E3C"/>
    <w:rsid w:val="00F26972"/>
    <w:rsid w:val="00F330CB"/>
    <w:rsid w:val="00F348C2"/>
    <w:rsid w:val="00F5062C"/>
    <w:rsid w:val="00F56375"/>
    <w:rsid w:val="00F73016"/>
    <w:rsid w:val="00F92D4B"/>
    <w:rsid w:val="00F94F4A"/>
    <w:rsid w:val="00FB02B1"/>
    <w:rsid w:val="00FB3AB9"/>
    <w:rsid w:val="00FB3DFA"/>
    <w:rsid w:val="00FD620A"/>
    <w:rsid w:val="0163247B"/>
    <w:rsid w:val="0428792D"/>
    <w:rsid w:val="07B90CB8"/>
    <w:rsid w:val="09287D76"/>
    <w:rsid w:val="09E37FB3"/>
    <w:rsid w:val="0A0F5BB5"/>
    <w:rsid w:val="0C93343B"/>
    <w:rsid w:val="0E6F05D1"/>
    <w:rsid w:val="0F074FAA"/>
    <w:rsid w:val="15333719"/>
    <w:rsid w:val="157A4E35"/>
    <w:rsid w:val="15A6480D"/>
    <w:rsid w:val="1608351E"/>
    <w:rsid w:val="1DF613D3"/>
    <w:rsid w:val="20A0716E"/>
    <w:rsid w:val="21E9568B"/>
    <w:rsid w:val="22A75E4C"/>
    <w:rsid w:val="2383244E"/>
    <w:rsid w:val="26A022EB"/>
    <w:rsid w:val="278E005D"/>
    <w:rsid w:val="288B42E2"/>
    <w:rsid w:val="2A771041"/>
    <w:rsid w:val="2AE65071"/>
    <w:rsid w:val="2FEC2936"/>
    <w:rsid w:val="30175C86"/>
    <w:rsid w:val="3038292B"/>
    <w:rsid w:val="33F53549"/>
    <w:rsid w:val="35B77D36"/>
    <w:rsid w:val="38290730"/>
    <w:rsid w:val="38F064A5"/>
    <w:rsid w:val="3BDC4EF4"/>
    <w:rsid w:val="3F080FA9"/>
    <w:rsid w:val="400C5122"/>
    <w:rsid w:val="41842ED7"/>
    <w:rsid w:val="41E80EEB"/>
    <w:rsid w:val="421A1D78"/>
    <w:rsid w:val="426C1EA8"/>
    <w:rsid w:val="441B5130"/>
    <w:rsid w:val="449C6A74"/>
    <w:rsid w:val="44E060C2"/>
    <w:rsid w:val="4708796F"/>
    <w:rsid w:val="47283916"/>
    <w:rsid w:val="4A8C26DF"/>
    <w:rsid w:val="4D237BB0"/>
    <w:rsid w:val="4DEE5E67"/>
    <w:rsid w:val="508F329F"/>
    <w:rsid w:val="52264F17"/>
    <w:rsid w:val="527B4618"/>
    <w:rsid w:val="52B813CD"/>
    <w:rsid w:val="52D653D6"/>
    <w:rsid w:val="58D345D7"/>
    <w:rsid w:val="58E50BA2"/>
    <w:rsid w:val="598B674F"/>
    <w:rsid w:val="5B8E2CD1"/>
    <w:rsid w:val="5D5E44AA"/>
    <w:rsid w:val="5EF534F9"/>
    <w:rsid w:val="628F7431"/>
    <w:rsid w:val="638758B0"/>
    <w:rsid w:val="67D866A0"/>
    <w:rsid w:val="6C28527F"/>
    <w:rsid w:val="6D6123F1"/>
    <w:rsid w:val="6D9143ED"/>
    <w:rsid w:val="70C745CA"/>
    <w:rsid w:val="70CB5E68"/>
    <w:rsid w:val="73141CCF"/>
    <w:rsid w:val="7357203A"/>
    <w:rsid w:val="75352A78"/>
    <w:rsid w:val="779852C0"/>
    <w:rsid w:val="7835786E"/>
    <w:rsid w:val="7BF0127B"/>
    <w:rsid w:val="7C2B051C"/>
    <w:rsid w:val="7CDA58DC"/>
  </w:rsids>
  <m:mathPr>
    <m:mathFont m:val="Cambria Math"/>
    <m:brkBin m:val="before"/>
    <m:brkBinSub m:val="--"/>
    <m:smallFrac m:val="1"/>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99" w:semiHidden="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99"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qFormat="1" w:unhideWhenUsed="0" w:uiPriority="0" w:semiHidden="0" w:name="HTML Acronym"/>
    <w:lsdException w:uiPriority="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iPriority="0" w:name="HTML Keyboard"/>
    <w:lsdException w:uiPriority="0" w:name="HTML Preformatted"/>
    <w:lsdException w:uiPriority="0" w:name="HTML Sample"/>
    <w:lsdException w:uiPriority="0" w:name="HTML Typewriter"/>
    <w:lsdException w:qFormat="1" w:unhideWhenUsed="0" w:uiPriority="0" w:semiHidden="0" w:name="HTML Variable"/>
    <w:lsdException w:uiPriority="99"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jc w:val="left"/>
      <w:outlineLvl w:val="1"/>
    </w:pPr>
    <w:rPr>
      <w:rFonts w:hint="eastAsia" w:ascii="宋体" w:hAnsi="宋体" w:eastAsia="宋体" w:cs="Times New Roman"/>
      <w:kern w:val="0"/>
      <w:sz w:val="24"/>
    </w:rPr>
  </w:style>
  <w:style w:type="paragraph" w:styleId="3">
    <w:name w:val="heading 4"/>
    <w:basedOn w:val="1"/>
    <w:next w:val="1"/>
    <w:unhideWhenUsed/>
    <w:qFormat/>
    <w:uiPriority w:val="0"/>
    <w:pPr>
      <w:jc w:val="left"/>
      <w:outlineLvl w:val="3"/>
    </w:pPr>
    <w:rPr>
      <w:rFonts w:hint="eastAsia" w:ascii="宋体" w:hAnsi="宋体" w:eastAsia="宋体" w:cs="Times New Roman"/>
      <w:kern w:val="0"/>
      <w:sz w:val="24"/>
    </w:rPr>
  </w:style>
  <w:style w:type="character" w:default="1" w:styleId="11">
    <w:name w:val="Default Paragraph Font"/>
    <w:unhideWhenUsed/>
    <w:qFormat/>
    <w:uiPriority w:val="1"/>
  </w:style>
  <w:style w:type="table" w:default="1" w:styleId="22">
    <w:name w:val="Normal Table"/>
    <w:unhideWhenUsed/>
    <w:uiPriority w:val="99"/>
    <w:tblPr>
      <w:tblLayout w:type="fixed"/>
      <w:tblCellMar>
        <w:top w:w="0" w:type="dxa"/>
        <w:left w:w="108" w:type="dxa"/>
        <w:bottom w:w="0" w:type="dxa"/>
        <w:right w:w="108" w:type="dxa"/>
      </w:tblCellMar>
    </w:tblPr>
  </w:style>
  <w:style w:type="paragraph" w:styleId="4">
    <w:name w:val="annotation subject"/>
    <w:basedOn w:val="5"/>
    <w:next w:val="5"/>
    <w:link w:val="35"/>
    <w:unhideWhenUsed/>
    <w:qFormat/>
    <w:uiPriority w:val="0"/>
    <w:rPr>
      <w:b/>
      <w:bCs/>
    </w:rPr>
  </w:style>
  <w:style w:type="paragraph" w:styleId="5">
    <w:name w:val="annotation text"/>
    <w:basedOn w:val="1"/>
    <w:link w:val="34"/>
    <w:unhideWhenUsed/>
    <w:qFormat/>
    <w:uiPriority w:val="99"/>
    <w:pPr>
      <w:jc w:val="left"/>
    </w:pPr>
  </w:style>
  <w:style w:type="paragraph" w:styleId="6">
    <w:name w:val="Plain Text"/>
    <w:basedOn w:val="1"/>
    <w:link w:val="31"/>
    <w:qFormat/>
    <w:uiPriority w:val="0"/>
    <w:rPr>
      <w:rFonts w:ascii="宋体" w:hAnsi="Courier New" w:eastAsia="宋体" w:cs="Courier New"/>
      <w:kern w:val="0"/>
      <w:sz w:val="20"/>
      <w:szCs w:val="21"/>
    </w:rPr>
  </w:style>
  <w:style w:type="paragraph" w:styleId="7">
    <w:name w:val="Balloon Text"/>
    <w:basedOn w:val="1"/>
    <w:link w:val="36"/>
    <w:unhideWhenUsed/>
    <w:qFormat/>
    <w:uiPriority w:val="0"/>
    <w:rPr>
      <w:sz w:val="18"/>
      <w:szCs w:val="18"/>
    </w:rPr>
  </w:style>
  <w:style w:type="paragraph" w:styleId="8">
    <w:name w:val="footer"/>
    <w:basedOn w:val="1"/>
    <w:link w:val="29"/>
    <w:qFormat/>
    <w:uiPriority w:val="99"/>
    <w:pPr>
      <w:tabs>
        <w:tab w:val="center" w:pos="4153"/>
        <w:tab w:val="right" w:pos="8306"/>
      </w:tabs>
      <w:snapToGrid w:val="0"/>
      <w:jc w:val="left"/>
    </w:pPr>
    <w:rPr>
      <w:sz w:val="18"/>
      <w:szCs w:val="18"/>
    </w:rPr>
  </w:style>
  <w:style w:type="paragraph" w:styleId="9">
    <w:name w:val="header"/>
    <w:basedOn w:val="1"/>
    <w:link w:val="28"/>
    <w:qFormat/>
    <w:uiPriority w:val="99"/>
    <w:pPr>
      <w:pBdr>
        <w:bottom w:val="single" w:color="auto" w:sz="6" w:space="1"/>
      </w:pBdr>
      <w:tabs>
        <w:tab w:val="center" w:pos="4153"/>
        <w:tab w:val="right" w:pos="8306"/>
      </w:tabs>
      <w:snapToGrid w:val="0"/>
      <w:jc w:val="center"/>
    </w:pPr>
    <w:rPr>
      <w:sz w:val="18"/>
      <w:szCs w:val="18"/>
    </w:rPr>
  </w:style>
  <w:style w:type="paragraph" w:styleId="10">
    <w:name w:val="Normal (Web)"/>
    <w:basedOn w:val="1"/>
    <w:qFormat/>
    <w:uiPriority w:val="99"/>
    <w:pPr>
      <w:jc w:val="left"/>
    </w:pPr>
    <w:rPr>
      <w:rFonts w:cs="Times New Roman"/>
      <w:kern w:val="0"/>
      <w:sz w:val="24"/>
    </w:rPr>
  </w:style>
  <w:style w:type="character" w:styleId="12">
    <w:name w:val="Strong"/>
    <w:basedOn w:val="11"/>
    <w:qFormat/>
    <w:uiPriority w:val="0"/>
    <w:rPr>
      <w:b/>
    </w:rPr>
  </w:style>
  <w:style w:type="character" w:styleId="13">
    <w:name w:val="FollowedHyperlink"/>
    <w:basedOn w:val="11"/>
    <w:qFormat/>
    <w:uiPriority w:val="0"/>
    <w:rPr>
      <w:color w:val="333333"/>
      <w:u w:val="none"/>
    </w:rPr>
  </w:style>
  <w:style w:type="character" w:styleId="14">
    <w:name w:val="Emphasis"/>
    <w:basedOn w:val="11"/>
    <w:qFormat/>
    <w:uiPriority w:val="0"/>
  </w:style>
  <w:style w:type="character" w:styleId="15">
    <w:name w:val="HTML Definition"/>
    <w:basedOn w:val="11"/>
    <w:qFormat/>
    <w:uiPriority w:val="0"/>
  </w:style>
  <w:style w:type="character" w:styleId="16">
    <w:name w:val="HTML Acronym"/>
    <w:basedOn w:val="11"/>
    <w:qFormat/>
    <w:uiPriority w:val="0"/>
  </w:style>
  <w:style w:type="character" w:styleId="17">
    <w:name w:val="HTML Variable"/>
    <w:basedOn w:val="11"/>
    <w:qFormat/>
    <w:uiPriority w:val="0"/>
  </w:style>
  <w:style w:type="character" w:styleId="18">
    <w:name w:val="Hyperlink"/>
    <w:basedOn w:val="11"/>
    <w:qFormat/>
    <w:uiPriority w:val="0"/>
    <w:rPr>
      <w:color w:val="333333"/>
      <w:u w:val="none"/>
    </w:rPr>
  </w:style>
  <w:style w:type="character" w:styleId="19">
    <w:name w:val="HTML Code"/>
    <w:basedOn w:val="11"/>
    <w:qFormat/>
    <w:uiPriority w:val="0"/>
    <w:rPr>
      <w:rFonts w:ascii="Courier New" w:hAnsi="Courier New"/>
      <w:sz w:val="20"/>
    </w:rPr>
  </w:style>
  <w:style w:type="character" w:styleId="20">
    <w:name w:val="annotation reference"/>
    <w:basedOn w:val="11"/>
    <w:unhideWhenUsed/>
    <w:qFormat/>
    <w:uiPriority w:val="99"/>
    <w:rPr>
      <w:sz w:val="21"/>
      <w:szCs w:val="21"/>
    </w:rPr>
  </w:style>
  <w:style w:type="character" w:styleId="21">
    <w:name w:val="HTML Cite"/>
    <w:basedOn w:val="11"/>
    <w:qFormat/>
    <w:uiPriority w:val="0"/>
  </w:style>
  <w:style w:type="table" w:styleId="23">
    <w:name w:val="Table Grid"/>
    <w:basedOn w:val="2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24">
    <w:name w:val="current"/>
    <w:basedOn w:val="11"/>
    <w:qFormat/>
    <w:uiPriority w:val="0"/>
    <w:rPr>
      <w:b/>
      <w:bCs/>
      <w:color w:val="FFFFFF"/>
      <w:bdr w:val="single" w:color="7D6543" w:sz="6" w:space="0"/>
      <w:shd w:val="clear" w:color="auto" w:fill="7D6543"/>
    </w:rPr>
  </w:style>
  <w:style w:type="character" w:customStyle="1" w:styleId="25">
    <w:name w:val="disabled"/>
    <w:basedOn w:val="11"/>
    <w:qFormat/>
    <w:uiPriority w:val="0"/>
    <w:rPr>
      <w:color w:val="999999"/>
      <w:bdr w:val="single" w:color="C5C5C5" w:sz="6" w:space="0"/>
    </w:rPr>
  </w:style>
  <w:style w:type="character" w:customStyle="1" w:styleId="26">
    <w:name w:val="font11"/>
    <w:basedOn w:val="11"/>
    <w:qFormat/>
    <w:uiPriority w:val="0"/>
    <w:rPr>
      <w:rFonts w:hint="eastAsia" w:ascii="宋体" w:hAnsi="宋体" w:eastAsia="宋体" w:cs="宋体"/>
      <w:color w:val="000000"/>
      <w:sz w:val="24"/>
      <w:szCs w:val="24"/>
      <w:u w:val="none"/>
    </w:rPr>
  </w:style>
  <w:style w:type="character" w:customStyle="1" w:styleId="27">
    <w:name w:val="font31"/>
    <w:basedOn w:val="11"/>
    <w:qFormat/>
    <w:uiPriority w:val="0"/>
    <w:rPr>
      <w:rFonts w:hint="eastAsia" w:ascii="宋体" w:hAnsi="宋体" w:eastAsia="宋体" w:cs="宋体"/>
      <w:color w:val="000000"/>
      <w:sz w:val="24"/>
      <w:szCs w:val="24"/>
      <w:u w:val="none"/>
    </w:rPr>
  </w:style>
  <w:style w:type="character" w:customStyle="1" w:styleId="28">
    <w:name w:val="页眉 字符"/>
    <w:basedOn w:val="11"/>
    <w:link w:val="9"/>
    <w:qFormat/>
    <w:uiPriority w:val="99"/>
    <w:rPr>
      <w:rFonts w:asciiTheme="minorHAnsi" w:hAnsiTheme="minorHAnsi" w:eastAsiaTheme="minorEastAsia" w:cstheme="minorBidi"/>
      <w:kern w:val="2"/>
      <w:sz w:val="18"/>
      <w:szCs w:val="18"/>
    </w:rPr>
  </w:style>
  <w:style w:type="character" w:customStyle="1" w:styleId="29">
    <w:name w:val="页脚 字符"/>
    <w:basedOn w:val="11"/>
    <w:link w:val="8"/>
    <w:qFormat/>
    <w:uiPriority w:val="99"/>
    <w:rPr>
      <w:rFonts w:asciiTheme="minorHAnsi" w:hAnsiTheme="minorHAnsi" w:eastAsiaTheme="minorEastAsia" w:cstheme="minorBidi"/>
      <w:kern w:val="2"/>
      <w:sz w:val="18"/>
      <w:szCs w:val="18"/>
    </w:rPr>
  </w:style>
  <w:style w:type="paragraph" w:customStyle="1" w:styleId="30">
    <w:name w:val="列出段落1"/>
    <w:basedOn w:val="1"/>
    <w:unhideWhenUsed/>
    <w:qFormat/>
    <w:uiPriority w:val="99"/>
    <w:pPr>
      <w:ind w:firstLine="420" w:firstLineChars="200"/>
    </w:pPr>
  </w:style>
  <w:style w:type="character" w:customStyle="1" w:styleId="31">
    <w:name w:val="纯文本 字符"/>
    <w:basedOn w:val="11"/>
    <w:link w:val="6"/>
    <w:qFormat/>
    <w:uiPriority w:val="0"/>
    <w:rPr>
      <w:rFonts w:ascii="宋体" w:hAnsi="Courier New" w:cs="Courier New"/>
      <w:szCs w:val="21"/>
    </w:rPr>
  </w:style>
  <w:style w:type="paragraph" w:customStyle="1" w:styleId="32">
    <w:name w:val="无间隔1"/>
    <w:link w:val="33"/>
    <w:qFormat/>
    <w:uiPriority w:val="1"/>
    <w:rPr>
      <w:rFonts w:asciiTheme="minorHAnsi" w:hAnsiTheme="minorHAnsi" w:eastAsiaTheme="minorEastAsia" w:cstheme="minorBidi"/>
      <w:sz w:val="22"/>
      <w:szCs w:val="22"/>
      <w:lang w:val="en-US" w:eastAsia="zh-CN" w:bidi="ar-SA"/>
    </w:rPr>
  </w:style>
  <w:style w:type="character" w:customStyle="1" w:styleId="33">
    <w:name w:val="无间隔 Char"/>
    <w:basedOn w:val="11"/>
    <w:link w:val="32"/>
    <w:qFormat/>
    <w:uiPriority w:val="1"/>
    <w:rPr>
      <w:rFonts w:asciiTheme="minorHAnsi" w:hAnsiTheme="minorHAnsi" w:eastAsiaTheme="minorEastAsia" w:cstheme="minorBidi"/>
      <w:sz w:val="22"/>
      <w:szCs w:val="22"/>
    </w:rPr>
  </w:style>
  <w:style w:type="character" w:customStyle="1" w:styleId="34">
    <w:name w:val="批注文字 字符"/>
    <w:basedOn w:val="11"/>
    <w:link w:val="5"/>
    <w:semiHidden/>
    <w:qFormat/>
    <w:uiPriority w:val="99"/>
    <w:rPr>
      <w:rFonts w:asciiTheme="minorHAnsi" w:hAnsiTheme="minorHAnsi" w:eastAsiaTheme="minorEastAsia" w:cstheme="minorBidi"/>
      <w:kern w:val="2"/>
      <w:sz w:val="21"/>
      <w:szCs w:val="24"/>
    </w:rPr>
  </w:style>
  <w:style w:type="character" w:customStyle="1" w:styleId="35">
    <w:name w:val="批注主题 字符"/>
    <w:basedOn w:val="34"/>
    <w:link w:val="4"/>
    <w:semiHidden/>
    <w:qFormat/>
    <w:uiPriority w:val="0"/>
    <w:rPr>
      <w:rFonts w:asciiTheme="minorHAnsi" w:hAnsiTheme="minorHAnsi" w:eastAsiaTheme="minorEastAsia" w:cstheme="minorBidi"/>
      <w:b/>
      <w:bCs/>
      <w:kern w:val="2"/>
      <w:sz w:val="21"/>
      <w:szCs w:val="24"/>
    </w:rPr>
  </w:style>
  <w:style w:type="character" w:customStyle="1" w:styleId="36">
    <w:name w:val="批注框文本 字符"/>
    <w:basedOn w:val="11"/>
    <w:link w:val="7"/>
    <w:semiHidden/>
    <w:qFormat/>
    <w:uiPriority w:val="0"/>
    <w:rPr>
      <w:rFonts w:asciiTheme="minorHAnsi" w:hAnsiTheme="minorHAnsi" w:eastAsiaTheme="minorEastAsia" w:cstheme="minorBidi"/>
      <w:kern w:val="2"/>
      <w:sz w:val="18"/>
      <w:szCs w:val="18"/>
    </w:rPr>
  </w:style>
  <w:style w:type="paragraph" w:customStyle="1" w:styleId="37">
    <w:name w:val="List Paragraph"/>
    <w:basedOn w:val="1"/>
    <w:qFormat/>
    <w:uiPriority w:val="34"/>
    <w:pPr>
      <w:ind w:firstLine="420" w:firstLineChars="200"/>
    </w:pPr>
    <w:rPr>
      <w:rFonts w:ascii="等线" w:hAnsi="等线" w:eastAsia="等线" w:cs="Times New Roman"/>
      <w:szCs w:val="22"/>
    </w:rPr>
  </w:style>
  <w:style w:type="paragraph" w:customStyle="1" w:styleId="38">
    <w:name w:val="Char Char Char Char Char Char Char1 Char"/>
    <w:basedOn w:val="1"/>
    <w:qFormat/>
    <w:uiPriority w:val="0"/>
    <w:rPr>
      <w:rFonts w:ascii="Tahoma" w:hAnsi="Tahoma" w:eastAsia="宋体" w:cs="Times New Roman"/>
      <w:sz w:val="24"/>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663801A-264E-4E82-AB1F-2376A44DD1D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Pages>
  <Words>349</Words>
  <Characters>1993</Characters>
  <Lines>16</Lines>
  <Paragraphs>4</Paragraphs>
  <TotalTime>0</TotalTime>
  <ScaleCrop>false</ScaleCrop>
  <LinksUpToDate>false</LinksUpToDate>
  <CharactersWithSpaces>2338</CharactersWithSpaces>
  <Application>WPS Office_10.8.0.6206_F1E327BC-269C-435d-A152-05C5408002CA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2023-12-20T04:13:00Z</dcterms:created>
  <dc:creator>Administrator</dc:creator>
  <cp:lastModifiedBy>100666</cp:lastModifiedBy>
  <cp:lastPrinted>2021-12-09T07:52:00Z</cp:lastPrinted>
  <dcterms:modified xsi:type="dcterms:W3CDTF">2024-04-23T08:06:29Z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y fmtid="{D5CDD505-2E9C-101B-9397-08002B2CF9AE}" pid="3" name="ICV">
    <vt:lpwstr>9840EEACB3DC46429F19DB564C2D5CA9_13</vt:lpwstr>
  </property>
</Properties>
</file>