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F6A31E">
      <w:pPr>
        <w:widowControl/>
        <w:jc w:val="left"/>
        <w:rPr>
          <w:rFonts w:ascii="黑体" w:hAnsi="黑体" w:eastAsia="黑体" w:cs="宋体"/>
          <w:b/>
          <w:bCs/>
          <w:color w:val="000000"/>
          <w:sz w:val="32"/>
          <w:szCs w:val="32"/>
        </w:rPr>
      </w:pPr>
      <w:r>
        <w:rPr>
          <w:rFonts w:hint="eastAsia" w:ascii="黑体" w:hAnsi="黑体" w:eastAsia="黑体" w:cs="宋体"/>
          <w:b/>
          <w:bCs/>
          <w:color w:val="000000"/>
          <w:sz w:val="32"/>
          <w:szCs w:val="32"/>
        </w:rPr>
        <w:t>附件</w:t>
      </w:r>
      <w:r>
        <w:rPr>
          <w:rFonts w:ascii="黑体" w:hAnsi="黑体" w:eastAsia="黑体" w:cs="宋体"/>
          <w:b/>
          <w:bCs/>
          <w:color w:val="000000"/>
          <w:sz w:val="32"/>
          <w:szCs w:val="32"/>
        </w:rPr>
        <w:t>1</w:t>
      </w:r>
    </w:p>
    <w:p w14:paraId="14439D33">
      <w:pPr>
        <w:widowControl/>
        <w:jc w:val="center"/>
        <w:rPr>
          <w:rFonts w:hint="eastAsia" w:ascii="宋体" w:hAnsi="宋体" w:cs="宋体"/>
          <w:b/>
          <w:bCs/>
          <w:color w:val="000000"/>
          <w:sz w:val="32"/>
          <w:szCs w:val="32"/>
        </w:rPr>
      </w:pPr>
      <w:r>
        <w:rPr>
          <w:rFonts w:hint="eastAsia" w:ascii="宋体" w:hAnsi="宋体" w:cs="宋体"/>
          <w:b/>
          <w:bCs/>
          <w:color w:val="000000"/>
          <w:sz w:val="32"/>
          <w:szCs w:val="32"/>
        </w:rPr>
        <w:t>采购项目需求表</w:t>
      </w:r>
    </w:p>
    <w:p w14:paraId="37A94A12">
      <w:pPr>
        <w:spacing w:line="400" w:lineRule="exact"/>
        <w:rPr>
          <w:rFonts w:ascii="宋体" w:hAnsi="宋体"/>
          <w:b/>
          <w:color w:val="000000"/>
          <w:szCs w:val="21"/>
        </w:rPr>
      </w:pPr>
      <w:r>
        <w:rPr>
          <w:rFonts w:hint="eastAsia" w:ascii="宋体" w:hAnsi="宋体"/>
          <w:b/>
          <w:color w:val="000000"/>
          <w:szCs w:val="21"/>
        </w:rPr>
        <w:t>说明：</w:t>
      </w:r>
      <w:r>
        <w:rPr>
          <w:rFonts w:ascii="宋体" w:hAnsi="宋体"/>
          <w:b/>
          <w:bCs/>
          <w:szCs w:val="24"/>
        </w:rPr>
        <w:t>1.</w:t>
      </w:r>
      <w:r>
        <w:rPr>
          <w:rFonts w:hint="eastAsia" w:ascii="宋体" w:hAnsi="宋体"/>
          <w:b/>
          <w:szCs w:val="24"/>
        </w:rPr>
        <w:t>本需求</w:t>
      </w:r>
      <w:r>
        <w:rPr>
          <w:rFonts w:ascii="宋体" w:hAnsi="宋体"/>
          <w:b/>
          <w:bCs/>
          <w:szCs w:val="24"/>
        </w:rPr>
        <w:t>中</w:t>
      </w:r>
      <w:r>
        <w:rPr>
          <w:rFonts w:hint="eastAsia" w:ascii="宋体" w:hAnsi="宋体"/>
          <w:b/>
          <w:bCs/>
          <w:szCs w:val="24"/>
        </w:rPr>
        <w:t>的相关参数有</w:t>
      </w:r>
      <w:r>
        <w:rPr>
          <w:rFonts w:ascii="宋体" w:hAnsi="宋体"/>
          <w:b/>
          <w:bCs/>
          <w:szCs w:val="24"/>
        </w:rPr>
        <w:t>不明确或有误的，</w:t>
      </w:r>
      <w:r>
        <w:rPr>
          <w:rFonts w:hint="eastAsia" w:ascii="宋体" w:hAnsi="宋体"/>
          <w:b/>
          <w:bCs/>
          <w:szCs w:val="24"/>
        </w:rPr>
        <w:t>报价人</w:t>
      </w:r>
      <w:r>
        <w:rPr>
          <w:rFonts w:ascii="宋体" w:hAnsi="宋体"/>
          <w:b/>
          <w:bCs/>
          <w:szCs w:val="24"/>
        </w:rPr>
        <w:t>请以详细、正确的参数</w:t>
      </w:r>
      <w:r>
        <w:rPr>
          <w:rFonts w:hint="eastAsia" w:ascii="宋体" w:hAnsi="宋体"/>
          <w:b/>
          <w:bCs/>
          <w:szCs w:val="24"/>
        </w:rPr>
        <w:t>另做附件</w:t>
      </w:r>
      <w:r>
        <w:rPr>
          <w:rFonts w:ascii="宋体" w:hAnsi="宋体"/>
          <w:b/>
          <w:bCs/>
          <w:szCs w:val="24"/>
        </w:rPr>
        <w:t>。</w:t>
      </w:r>
    </w:p>
    <w:p w14:paraId="71730619">
      <w:pPr>
        <w:numPr>
          <w:ilvl w:val="0"/>
          <w:numId w:val="1"/>
        </w:numPr>
        <w:spacing w:line="360" w:lineRule="exact"/>
        <w:ind w:right="2" w:rightChars="1"/>
        <w:rPr>
          <w:rFonts w:hint="eastAsia" w:ascii="宋体" w:hAnsi="宋体"/>
          <w:b/>
          <w:bCs/>
          <w:szCs w:val="21"/>
        </w:rPr>
      </w:pPr>
      <w:r>
        <w:rPr>
          <w:rFonts w:hint="eastAsia" w:ascii="宋体" w:hAnsi="宋体"/>
          <w:b/>
          <w:bCs/>
          <w:szCs w:val="24"/>
        </w:rPr>
        <w:t>报价人必须自行为其报价产品或服务侵犯其他供应商担相应法律责任</w:t>
      </w:r>
      <w:r>
        <w:rPr>
          <w:rFonts w:hint="eastAsia" w:ascii="宋体" w:hAnsi="宋体"/>
          <w:b/>
          <w:bCs/>
          <w:szCs w:val="21"/>
        </w:rPr>
        <w:t>。</w:t>
      </w:r>
    </w:p>
    <w:p w14:paraId="626B555B">
      <w:pPr>
        <w:spacing w:line="400" w:lineRule="exact"/>
        <w:ind w:firstLine="632" w:firstLineChars="300"/>
        <w:rPr>
          <w:rFonts w:hint="eastAsia"/>
        </w:rPr>
      </w:pPr>
      <w:r>
        <w:rPr>
          <w:rFonts w:hint="eastAsia" w:ascii="宋体" w:hAnsi="宋体"/>
          <w:b/>
          <w:szCs w:val="24"/>
        </w:rPr>
        <w:t>3.本章中带▲号条款为实质性内容要求，投标时必须满足。</w:t>
      </w:r>
    </w:p>
    <w:tbl>
      <w:tblPr>
        <w:tblStyle w:val="6"/>
        <w:tblW w:w="0" w:type="auto"/>
        <w:tblInd w:w="17" w:type="dxa"/>
        <w:tblLayout w:type="fixed"/>
        <w:tblCellMar>
          <w:top w:w="13" w:type="dxa"/>
          <w:left w:w="57" w:type="dxa"/>
          <w:bottom w:w="0" w:type="dxa"/>
          <w:right w:w="57" w:type="dxa"/>
        </w:tblCellMar>
      </w:tblPr>
      <w:tblGrid>
        <w:gridCol w:w="326"/>
        <w:gridCol w:w="839"/>
        <w:gridCol w:w="94"/>
        <w:gridCol w:w="1712"/>
        <w:gridCol w:w="3667"/>
        <w:gridCol w:w="727"/>
        <w:gridCol w:w="987"/>
      </w:tblGrid>
      <w:tr w14:paraId="451022AB">
        <w:tblPrEx>
          <w:tblCellMar>
            <w:top w:w="13" w:type="dxa"/>
            <w:left w:w="57" w:type="dxa"/>
            <w:bottom w:w="0" w:type="dxa"/>
            <w:right w:w="57" w:type="dxa"/>
          </w:tblCellMar>
        </w:tblPrEx>
        <w:trPr>
          <w:trHeight w:val="454" w:hRule="atLeast"/>
        </w:trPr>
        <w:tc>
          <w:tcPr>
            <w:tcW w:w="8352" w:type="dxa"/>
            <w:gridSpan w:val="7"/>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25A6FB5">
            <w:pPr>
              <w:rPr>
                <w:rFonts w:ascii="宋体" w:hAnsi="宋体"/>
                <w:b/>
                <w:bCs/>
                <w:color w:val="000000"/>
                <w:szCs w:val="21"/>
              </w:rPr>
            </w:pPr>
            <w:r>
              <w:rPr>
                <w:rFonts w:hint="eastAsia" w:ascii="宋体" w:hAnsi="宋体"/>
                <w:b/>
                <w:szCs w:val="21"/>
              </w:rPr>
              <w:t>▲</w:t>
            </w:r>
            <w:r>
              <w:rPr>
                <w:rFonts w:hint="eastAsia" w:ascii="宋体" w:hAnsi="宋体"/>
                <w:b/>
                <w:bCs/>
                <w:color w:val="000000"/>
                <w:szCs w:val="21"/>
              </w:rPr>
              <w:t>一、技术要求</w:t>
            </w:r>
          </w:p>
        </w:tc>
      </w:tr>
      <w:tr w14:paraId="3DFE6D32">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19C5D23">
            <w:pPr>
              <w:jc w:val="center"/>
              <w:rPr>
                <w:rFonts w:ascii="宋体" w:hAnsi="宋体"/>
                <w:b/>
                <w:bCs/>
                <w:color w:val="000000"/>
                <w:kern w:val="0"/>
                <w:szCs w:val="21"/>
              </w:rPr>
            </w:pPr>
            <w:r>
              <w:rPr>
                <w:rFonts w:hint="eastAsia" w:ascii="宋体" w:hAnsi="宋体"/>
                <w:b/>
                <w:bCs/>
                <w:color w:val="000000"/>
                <w:kern w:val="0"/>
                <w:szCs w:val="21"/>
              </w:rPr>
              <w:t>序号</w:t>
            </w: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DAD47B3">
            <w:pPr>
              <w:jc w:val="center"/>
              <w:rPr>
                <w:rFonts w:ascii="宋体" w:hAnsi="宋体"/>
                <w:b/>
                <w:bCs/>
                <w:color w:val="000000"/>
                <w:szCs w:val="21"/>
              </w:rPr>
            </w:pPr>
            <w:r>
              <w:rPr>
                <w:rFonts w:hint="eastAsia" w:ascii="宋体" w:hAnsi="宋体"/>
                <w:b/>
                <w:bCs/>
                <w:color w:val="000000"/>
                <w:szCs w:val="21"/>
              </w:rPr>
              <w:t>采购内容</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3E76DB4">
            <w:pPr>
              <w:jc w:val="center"/>
              <w:rPr>
                <w:rFonts w:ascii="宋体" w:hAnsi="宋体"/>
                <w:b/>
                <w:bCs/>
                <w:color w:val="000000"/>
                <w:kern w:val="0"/>
                <w:szCs w:val="21"/>
              </w:rPr>
            </w:pPr>
            <w:r>
              <w:rPr>
                <w:rFonts w:hint="eastAsia" w:ascii="宋体" w:hAnsi="宋体"/>
                <w:b/>
                <w:bCs/>
                <w:color w:val="000000"/>
                <w:szCs w:val="21"/>
              </w:rPr>
              <w:t>品牌型号要求</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06CCCA0">
            <w:pPr>
              <w:jc w:val="center"/>
              <w:rPr>
                <w:rFonts w:ascii="宋体" w:hAnsi="宋体"/>
                <w:b/>
                <w:bCs/>
                <w:color w:val="000000"/>
                <w:szCs w:val="21"/>
              </w:rPr>
            </w:pPr>
            <w:r>
              <w:rPr>
                <w:rFonts w:hint="eastAsia" w:ascii="宋体" w:hAnsi="宋体" w:cs="仿宋_GB2312"/>
                <w:b/>
                <w:bCs/>
                <w:color w:val="000000"/>
                <w:kern w:val="0"/>
                <w:szCs w:val="21"/>
              </w:rPr>
              <w:t>技术参数</w:t>
            </w:r>
          </w:p>
        </w:tc>
        <w:tc>
          <w:tcPr>
            <w:tcW w:w="727" w:type="dxa"/>
            <w:tcBorders>
              <w:top w:val="single" w:color="auto" w:sz="4" w:space="0"/>
              <w:left w:val="nil"/>
              <w:bottom w:val="single" w:color="auto" w:sz="4" w:space="0"/>
              <w:right w:val="single" w:color="auto" w:sz="4" w:space="0"/>
            </w:tcBorders>
            <w:vAlign w:val="center"/>
          </w:tcPr>
          <w:p w14:paraId="02F049EE">
            <w:pPr>
              <w:jc w:val="center"/>
              <w:rPr>
                <w:rFonts w:ascii="宋体" w:hAnsi="宋体" w:cs="仿宋_GB2312"/>
                <w:b/>
                <w:bCs/>
                <w:color w:val="000000"/>
                <w:kern w:val="0"/>
                <w:szCs w:val="21"/>
              </w:rPr>
            </w:pPr>
            <w:r>
              <w:rPr>
                <w:rFonts w:hint="eastAsia" w:ascii="宋体" w:hAnsi="宋体" w:cs="仿宋_GB2312"/>
                <w:b/>
                <w:bCs/>
                <w:color w:val="000000"/>
                <w:kern w:val="0"/>
                <w:szCs w:val="21"/>
              </w:rPr>
              <w:t>计量</w:t>
            </w:r>
          </w:p>
          <w:p w14:paraId="46CDB968">
            <w:pPr>
              <w:jc w:val="center"/>
              <w:rPr>
                <w:rFonts w:ascii="宋体" w:hAnsi="宋体"/>
                <w:b/>
                <w:bCs/>
                <w:color w:val="000000"/>
                <w:szCs w:val="21"/>
              </w:rPr>
            </w:pPr>
            <w:r>
              <w:rPr>
                <w:rFonts w:hint="eastAsia" w:ascii="宋体" w:hAnsi="宋体" w:cs="仿宋_GB2312"/>
                <w:b/>
                <w:bCs/>
                <w:color w:val="000000"/>
                <w:kern w:val="0"/>
                <w:szCs w:val="21"/>
              </w:rPr>
              <w:t>单位</w:t>
            </w:r>
          </w:p>
        </w:tc>
        <w:tc>
          <w:tcPr>
            <w:tcW w:w="987" w:type="dxa"/>
            <w:tcBorders>
              <w:top w:val="single" w:color="auto" w:sz="4" w:space="0"/>
              <w:left w:val="nil"/>
              <w:bottom w:val="single" w:color="auto" w:sz="4" w:space="0"/>
              <w:right w:val="single" w:color="auto" w:sz="4" w:space="0"/>
            </w:tcBorders>
            <w:vAlign w:val="center"/>
          </w:tcPr>
          <w:p w14:paraId="1BC26339">
            <w:pPr>
              <w:jc w:val="center"/>
              <w:rPr>
                <w:rFonts w:ascii="宋体" w:hAnsi="宋体"/>
                <w:b/>
                <w:bCs/>
                <w:color w:val="000000"/>
                <w:szCs w:val="21"/>
              </w:rPr>
            </w:pPr>
            <w:r>
              <w:rPr>
                <w:rFonts w:hint="eastAsia" w:ascii="宋体" w:hAnsi="宋体" w:cs="仿宋_GB2312"/>
                <w:b/>
                <w:bCs/>
                <w:color w:val="000000"/>
                <w:kern w:val="0"/>
                <w:szCs w:val="21"/>
              </w:rPr>
              <w:t>数量</w:t>
            </w:r>
          </w:p>
        </w:tc>
      </w:tr>
      <w:tr w14:paraId="4B4DBF97">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99F7623">
            <w:pPr>
              <w:pStyle w:val="9"/>
              <w:widowControl/>
              <w:numPr>
                <w:ilvl w:val="0"/>
                <w:numId w:val="2"/>
              </w:numPr>
              <w:ind w:firstLineChars="0"/>
              <w:jc w:val="center"/>
              <w:rPr>
                <w:rFonts w:ascii="宋体" w:hAnsi="宋体" w:cs="宋体"/>
                <w:color w:val="000000"/>
                <w:kern w:val="0"/>
                <w:lang w:bidi="zh-CN"/>
              </w:rPr>
            </w:pP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5066C45">
            <w:pPr>
              <w:widowControl/>
              <w:jc w:val="center"/>
              <w:rPr>
                <w:rFonts w:hint="eastAsia" w:ascii="宋体" w:hAnsi="宋体" w:cs="宋体"/>
                <w:color w:val="000000"/>
                <w:kern w:val="0"/>
                <w:szCs w:val="21"/>
                <w:lang w:bidi="zh-CN"/>
              </w:rPr>
            </w:pPr>
            <w:r>
              <w:rPr>
                <w:rFonts w:hint="eastAsia" w:ascii="宋体" w:hAnsi="宋体" w:cs="宋体"/>
                <w:color w:val="000000"/>
                <w:kern w:val="0"/>
                <w:szCs w:val="21"/>
                <w:lang w:bidi="zh-CN"/>
              </w:rPr>
              <w:t>会议专用显示终端</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1FF1D9D">
            <w:pPr>
              <w:widowControl/>
              <w:jc w:val="center"/>
              <w:rPr>
                <w:rFonts w:hint="eastAsia" w:ascii="宋体" w:hAnsi="宋体" w:cs="宋体"/>
                <w:color w:val="000000"/>
                <w:kern w:val="0"/>
                <w:szCs w:val="21"/>
                <w:lang w:bidi="zh-CN"/>
              </w:rPr>
            </w:pPr>
            <w:r>
              <w:rPr>
                <w:rFonts w:hint="eastAsia" w:ascii="宋体" w:hAnsi="宋体"/>
                <w:color w:val="000000"/>
                <w:sz w:val="21"/>
                <w:szCs w:val="24"/>
                <w:lang w:val="zh-CN"/>
              </w:rPr>
              <w:t>希沃、视隆、兴视科</w:t>
            </w:r>
            <w:r>
              <w:rPr>
                <w:rFonts w:hint="eastAsia" w:ascii="宋体" w:hAnsi="宋体" w:cs="宋体"/>
                <w:color w:val="000000"/>
                <w:kern w:val="0"/>
                <w:szCs w:val="21"/>
                <w:lang w:bidi="zh-CN"/>
              </w:rPr>
              <w:t>等或其他同等以上品牌型号</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4502FE4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一、屏幕显示效果</w:t>
            </w:r>
          </w:p>
          <w:p w14:paraId="590A5C7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▲1、整机屏幕采用≥86英寸液晶显示器。</w:t>
            </w:r>
          </w:p>
          <w:p w14:paraId="667244F9">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2、整机采用超高清LED液晶显示屏，显示比例16:9，分辨率3840×2160。</w:t>
            </w:r>
          </w:p>
          <w:p w14:paraId="1D7CC099">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3、整机色域覆盖率（NTSC）≥72%</w:t>
            </w:r>
          </w:p>
          <w:p w14:paraId="09876AB4">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4、整机背光系统支持DC调光方式，多级亮度调节，支持白颜色背景下最暗亮度≤100nit，用于提升显示对比度。</w:t>
            </w:r>
          </w:p>
          <w:p w14:paraId="601712C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5、灰阶等级≥256级。</w:t>
            </w:r>
          </w:p>
          <w:p w14:paraId="2F03F89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6、整机屏幕蓝光占比（有害蓝光415～455nm能量综合）/（整体蓝光400～500能量综合）＜50%</w:t>
            </w:r>
          </w:p>
          <w:p w14:paraId="405C3A7A">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7、支持标准、多媒体和节能三种图像模式调节。</w:t>
            </w:r>
          </w:p>
          <w:p w14:paraId="4D5EA36E">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8、支持自定义图像设置，可对对比度、屏幕色温、图像亮度、亮度范围、色彩空间调节设置。</w:t>
            </w:r>
          </w:p>
          <w:p w14:paraId="080C3E07">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9、整机系统支持手势上滑调出人工智能画质调节模式（AI-PQ），在安卓通道下可根据屏幕内容自动调节画质参数，当屏幕出现人物、建筑、夜景等元素时，自动调整对比度、饱和度、锐利度、色调色相值、高光/阴影。（响应时须提供国家认可的第三方检测机构出具的关于该功能检测报告复印件）</w:t>
            </w:r>
          </w:p>
          <w:p w14:paraId="7ABF11D1">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10、整机视网膜蓝光危害（蓝光加权辐射亮度LB）满足IEC TR 62778:2014蓝光危害RG0级别</w:t>
            </w:r>
          </w:p>
          <w:p w14:paraId="246FD516">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11、整机全通道支持纸质护眼模式，可实现画面纹理的实时调整；支持纸质纹理：牛皮纸、素描纸、宣纸、水彩纸、水纹纸；支持透明度调节；支持色温调节。（响应时须提供国家认可的第三方检测机构出具的关于该功能检测报告复印件）</w:t>
            </w:r>
          </w:p>
          <w:p w14:paraId="662397FC">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12、纸质护眼模式下，显示画面各像素点灰度不规则，减少背景干扰。</w:t>
            </w:r>
          </w:p>
          <w:p w14:paraId="2DD29E84">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二、整机系统设计</w:t>
            </w:r>
          </w:p>
          <w:p w14:paraId="07110C00">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（一）电脑系统</w:t>
            </w:r>
          </w:p>
          <w:p w14:paraId="5AC0698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▲1、CPU：搭载Intel  酷睿系列≥ i5 CPU。</w:t>
            </w:r>
          </w:p>
          <w:p w14:paraId="2092A302">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▲2、内存：8GB DDR4笔记本内存或以上配置。</w:t>
            </w:r>
          </w:p>
          <w:p w14:paraId="2260DA46">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▲3、硬盘：256 GB或以上SSD固态硬盘。</w:t>
            </w:r>
          </w:p>
          <w:p w14:paraId="7F744AF4">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4、采用按压式卡扣，无需工具即可快速拆卸电脑模块。</w:t>
            </w:r>
          </w:p>
          <w:p w14:paraId="7598473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5、PC 模块可抽拉式插入整机，可实现无单独接线的拔插。</w:t>
            </w:r>
          </w:p>
          <w:p w14:paraId="2479A0E1">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6、具有独立非外拓展的视频输出接口：≥1 路 HDMI。</w:t>
            </w:r>
          </w:p>
          <w:p w14:paraId="6AD2085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7、具有独立非外拓展的电脑 USB 接口：至少具备 4个USB3.0 接口。</w:t>
            </w:r>
          </w:p>
          <w:p w14:paraId="02B19B4C">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8、具有标准 PC 防盗锁孔，确保电脑模块安全防盗。</w:t>
            </w:r>
          </w:p>
          <w:p w14:paraId="2C2E3DDE">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9、和整机的连接采用万兆级接口，传输速率≥10Gbps。</w:t>
            </w:r>
          </w:p>
          <w:p w14:paraId="15415F81">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10、和整机的连接接口针脚数≤40pin。</w:t>
            </w:r>
          </w:p>
          <w:p w14:paraId="64071EE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（二）触摸系统</w:t>
            </w:r>
          </w:p>
          <w:p w14:paraId="5313358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▲1、支持Windows 7、Windows 8、Windows 10、Windows11、Linux、Mac Os、UOS和麒麟系统外置电脑操作系统接入时，无需安装触摸驱动。</w:t>
            </w:r>
          </w:p>
          <w:p w14:paraId="4EC9E566">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2、触摸分辨率32768×32768。</w:t>
            </w:r>
          </w:p>
          <w:p w14:paraId="397C9C11">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3、书写触控延迟≤25ms</w:t>
            </w:r>
          </w:p>
          <w:p w14:paraId="0E0BB3CC">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4、整机触控书写功能集成预测算法，在书写速度≥50cm/s，支持笔迹距离笔的距离小于20mm。</w:t>
            </w:r>
          </w:p>
          <w:p w14:paraId="0A81A076">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5、触摸响应≤4ms。</w:t>
            </w:r>
          </w:p>
          <w:p w14:paraId="59D1F72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6、触摸最小识别物≤3mm。</w:t>
            </w:r>
          </w:p>
          <w:p w14:paraId="531E0DA3">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7、整机屏幕触摸有效识别高度不超过3mm，即触摸物体距离玻璃外表面高度不超过3mm时，触摸屏识别为点击操作。</w:t>
            </w:r>
          </w:p>
          <w:p w14:paraId="3368D36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8、整机支持提笔书写，在Windows系统下可实现无需点击任意功能入口，当检测到红外笔笔尖接触屏幕时，自动进入书写模式。</w:t>
            </w:r>
          </w:p>
          <w:p w14:paraId="67D6EEA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9、整机支持手笔分离，通过提笔即写唤醒批注功能后，可进行手笔分离功能，使用笔正常书写，使用手指可以操作应用，进行点击操作。</w:t>
            </w:r>
          </w:p>
          <w:p w14:paraId="25688F97">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▲10、整机触摸支持动态压力感应，支持无任何电子功能的普通书写笔在整机上书写或点压时，整机能感应压力变化，书写或点压过程笔迹呈现不同粗细。</w:t>
            </w:r>
          </w:p>
          <w:p w14:paraId="7997241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▲11、支持同一支笔，笔头、笔尾书写不同的颜色，且颜色可自定义。（响应时须提供国家认可的第三方检测机构出具的关于该功能检测报告复印件）</w:t>
            </w:r>
          </w:p>
          <w:p w14:paraId="3BDF0BE7">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▲12、支持智能板擦功能，系统可根据触控物体的形状自动识别出实物板擦，可擦除电子白板中的内容，无需依赖外部电子设备。（响应时须提供国家认可的第三方检测机构出具的关于该功能检测报告复印件）</w:t>
            </w:r>
          </w:p>
          <w:p w14:paraId="2733A90A">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13、触摸屏具有防遮挡功能，触摸接收器在单点或多点遮挡后仍能正常书写。</w:t>
            </w:r>
          </w:p>
          <w:p w14:paraId="517DDF82">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▲14、采用红外触控技术，支持Windows系统中进行40点或以上触控，支持在Android系统中进行40点或以上触控。（响应时须提供国家认可的第三方检测机构出具的关于该功能检测报告复印件）</w:t>
            </w:r>
          </w:p>
          <w:p w14:paraId="5A5452B3">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（三）安卓系统</w:t>
            </w:r>
          </w:p>
          <w:p w14:paraId="51846024">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▲1、嵌入式系统版本不低于Android 13，内存≥2GB，存储空间≥8GB。（响应时须提供国家认可的第三方检测机构出具的关于该功能检测报告复印件）</w:t>
            </w:r>
          </w:p>
          <w:p w14:paraId="17EA0F2D">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2、嵌入式Android操作系统下，白板支持对已经书写的笔迹和形状和颜色进行更换。</w:t>
            </w:r>
          </w:p>
          <w:p w14:paraId="769D7B53">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3、在嵌入式系统下使用白板软件时，整机可自行调节屏幕亮度。</w:t>
            </w:r>
          </w:p>
          <w:p w14:paraId="37E2943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4、嵌入式Android操作系统下，互动白板支持不同背景颜色，同时提供学科背景，如：五线谱、信纸、田字格、英文格、篮球和足球场地平面图。（响应时须提供国家认可的第三方检测机构出具的关于该功能检测报告复印件）</w:t>
            </w:r>
          </w:p>
          <w:p w14:paraId="24B18EDD">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5、无PC状态下，嵌入式系统内置互动白板支持十笔书写及手掌擦除（手掌擦除面积根据手掌与屏幕的接触面大小自动调整），白板书写内容可以PDF、IWB和SVG格式导出。支持10种以上平面图形工具。支持8种以上立体图形工具。</w:t>
            </w:r>
          </w:p>
          <w:p w14:paraId="7F3C01DC">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6、无PC状态下，嵌入式系统内置互动白板支持全局漫游，并能在工具栏中对全局内容进行预览和移动。</w:t>
            </w:r>
          </w:p>
          <w:p w14:paraId="2975E0B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7、无PC状态下，嵌入式Android 操作系统下可使用白板书写、WPS 软件和网页浏览</w:t>
            </w:r>
          </w:p>
          <w:p w14:paraId="35C8665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8、在嵌入式Android操作系统下，能对TV多媒体USB所读取到的文件进行自动归类，可分类查找文档、板书、图片、音视频，检索后可直接在界面中打开。</w:t>
            </w:r>
          </w:p>
          <w:p w14:paraId="2C90D4F0">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三、整机接口设计与安全设计</w:t>
            </w:r>
          </w:p>
          <w:p w14:paraId="2A4C3456">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1、侧置输入接口具备2路HDMI、1路RS232、1路USB接口。</w:t>
            </w:r>
          </w:p>
          <w:p w14:paraId="00004792">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2、侧置输出接口具备1路音频输出、1路触控USB输出。</w:t>
            </w:r>
          </w:p>
          <w:p w14:paraId="67352767">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3、前置输入接口3路USB接口（包含1路Type-C、2路USB）。</w:t>
            </w:r>
          </w:p>
          <w:p w14:paraId="64B53E6C">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▲4、支持通过Type-C接口U盘进行文件传输，兼容Type-C接口手机充电。</w:t>
            </w:r>
          </w:p>
          <w:p w14:paraId="57D0221C">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5、整机采用一体设计，外部无任何可见内部功能模块连接线。边角采用弧形设计，表面无尖锐边缘或凸起。</w:t>
            </w:r>
          </w:p>
          <w:p w14:paraId="3F4AADD9">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6、整机采用全金属外壳设计，边框为金属一体成型。</w:t>
            </w:r>
          </w:p>
          <w:p w14:paraId="2BE6B843">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7、整机屏幕边缘采用金属圆角包边防护，整机背板采用金属材质，有效屏蔽内部电路器件辐射；防潮耐盐雾蚀锈，适应多种教学环境。</w:t>
            </w:r>
          </w:p>
          <w:p w14:paraId="2E80FA1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四、整体无线与网络功能设计</w:t>
            </w:r>
          </w:p>
          <w:p w14:paraId="467FCD4C">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1、整机无需外接无线网卡，在Windows系统下可实现Wi-Fi无线上网连接、AP无线热点发射和BT蓝牙连接功能。</w:t>
            </w:r>
          </w:p>
          <w:p w14:paraId="7207D473">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2、Wi-Fi和AP热点工作距离≥12m。</w:t>
            </w:r>
          </w:p>
          <w:p w14:paraId="131F5B4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3、整机支持蓝牙Bluetooth 5.4标准，固件版本号HCI13.0/LMP13.0。</w:t>
            </w:r>
          </w:p>
          <w:p w14:paraId="5A41017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4、整机PC端支持主动发现蓝牙外设从而连接（无需整机进入发现模式），支持连接外部蓝牙音箱播放音频。</w:t>
            </w:r>
          </w:p>
          <w:p w14:paraId="4F271B02">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5、整机支持发出频率为18kHz-22kHz超声波信号，智能手机通过麦克风接收后，智能手机与整机无需在同一局域网内，可实现配对，一键投屏，用户无需手动输入投屏码或扫码获取投屏码；（响应时须提供国家认可的第三方检测机构出具的关于该功能检测报告复印件）</w:t>
            </w:r>
          </w:p>
          <w:p w14:paraId="7E2306E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6、整机内置传屏接收模块，整机不需要连接任何附加设备，可实现外部电脑、手机设备的音视频信号实时传输到整机上；当使用外部电脑传屏时，支持触摸回传，在屏幕上部显示传屏工具栏，可以进行触摸回传控制、勿扰模式、暂停投屏功能；开启勿扰模式时，不允许其他人在进行传屏；投屏时可以选择过滤特定应用窗口，如邮件应用窗口。</w:t>
            </w:r>
          </w:p>
          <w:p w14:paraId="0684F580">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7、整机内置双WiFi6无线网卡（不接受外接），在Android和Windows系统下，可实现Wi-Fi无线上网连接、AP无线热点发射。</w:t>
            </w:r>
          </w:p>
          <w:p w14:paraId="78FFA61E">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8、整机内置双WiFi6无线网卡（不接受外接），在Android下支持无线设备同时连接数量≥32个，在Windows系统下支持无线设备同时连接≥8个；（响应时须提供国家认可的第三方检测机构出具的关于该功能检测报告复印件）</w:t>
            </w:r>
          </w:p>
          <w:p w14:paraId="4AF5AECD">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9、整机无需外接无线网卡，在Windows系统下接入无线网络，切换到嵌入式Android系统下可直接实现无线上网功能，不需手动重复设置。</w:t>
            </w:r>
          </w:p>
          <w:p w14:paraId="0DB1B45C">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 xml:space="preserve">10、Wi-Fi及AP热点支持频段2.4GHz/5GHz </w:t>
            </w:r>
          </w:p>
          <w:p w14:paraId="26AB4F89">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▲11、Wi-Fi制式支持IEEE 802.11 a/b/g/n/ac/ax；支持版本Wi-Fi6。</w:t>
            </w:r>
          </w:p>
          <w:p w14:paraId="1392A936">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五、侧边栏教学设计要求</w:t>
            </w:r>
          </w:p>
          <w:p w14:paraId="1546606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1、整机全通道侧边栏快捷菜单包含如下小工具：批注、降半屏、截屏、放大镜、倒计时、日历、聚光灯、秒表、冻屏、倒数日、答题、节拍器</w:t>
            </w:r>
          </w:p>
          <w:p w14:paraId="6BE45A5D">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2、整机全通道侧边栏快捷菜单小工具支持自定义，支持设置对应小工具的显示/隐藏。</w:t>
            </w:r>
          </w:p>
          <w:p w14:paraId="19849CA9">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3、整机全通道侧边栏支持使用批注小工具进行批注讲解，可切换书写笔颜色、截屏保存批注内容、清屏，可根据手与屏幕的接触面积自动调整板擦工具的大小。</w:t>
            </w:r>
          </w:p>
          <w:p w14:paraId="15667E9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▲4、整机全通道侧边栏支持将设备屏幕降低为半屏幕状态，点击上半屏幕可以返回全屏状态。</w:t>
            </w:r>
          </w:p>
          <w:p w14:paraId="5B333D8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5、整机全通道侧边栏支持自行选择所需截取屏幕范围，点击截屏即可成功截取屏幕，并自动保存。</w:t>
            </w:r>
          </w:p>
          <w:p w14:paraId="33A0BA9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6、整机全通道侧边栏支持放大选中区域内容，并可支持对未选中区域关灯处理，实现聚光灯效果。</w:t>
            </w:r>
          </w:p>
          <w:p w14:paraId="6A1A3856">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7、整机全通道侧边栏支持倒计时、正计时功能；倒计时，输入某特定时间值，可精确到秒，点击开始进入倒计时；正计时，点击开始计时便自动开始，并实时显示时间。（响应时须提供国家认可的第三方检测机构出具的关于该功能检测报告复印件）</w:t>
            </w:r>
          </w:p>
          <w:p w14:paraId="5DA6085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8、整机全通道侧边栏支持打开日历，查看日期。</w:t>
            </w:r>
          </w:p>
          <w:p w14:paraId="03A2597E">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9、整机全通道侧边栏支持聚光灯，支持聚光灯高亮区域大小调节、区域移动。</w:t>
            </w:r>
          </w:p>
          <w:p w14:paraId="52AFD6F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10、整机全通道侧边栏支持冻屏，将屏幕画面进行缩放。</w:t>
            </w:r>
          </w:p>
          <w:p w14:paraId="6FF838EE">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11、整机安卓和外接通道下侧边栏支持设置倒数日。</w:t>
            </w:r>
          </w:p>
          <w:p w14:paraId="5942E532">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▲12、整机安卓和外接通道 下侧边栏支持通过扫描二维码加入班级，老师设置题型，学生回答后提交，教师查看正确率比例及详细讲解；支持随机抽选、实时弹幕；支持管理当前班级成员；支持导出学生报告。全通道下可支持通过自定义按键调出该功能。（响应时须提供国家认可的第三方检测机构出具的关于该功能检测报告复印件）</w:t>
            </w:r>
          </w:p>
          <w:p w14:paraId="2898BC09">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13、整机安卓和外接通道下侧边栏支持节拍器，支持设置节拍、轻重、节拍播放速度。全通道下可支持通过自定义按键调出该功能。（响应时须提供国家认可的第三方检测机构出具的关于该功能检测报告复印件）</w:t>
            </w:r>
          </w:p>
          <w:p w14:paraId="44C2C286">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14、整机支持在设备上通过摄像头获取教室内图像并自动识别图像内所有人员，并随机抽选1人。</w:t>
            </w:r>
          </w:p>
          <w:p w14:paraId="545EABD4">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▲15、整机支持在设备上通过摄像头获取教室内图像并自动识别图像内所有人员，并自动进行人数统计。</w:t>
            </w:r>
          </w:p>
          <w:p w14:paraId="46B2C7F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16、整机支持在设备上，通过侧边栏实现调用windows系统运行、打开文件夹、打开任务管理。</w:t>
            </w:r>
          </w:p>
          <w:p w14:paraId="1FC271BA">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17、整机Windows通道支持在通过侧边栏调取软键盘。</w:t>
            </w:r>
          </w:p>
          <w:p w14:paraId="1303F57A">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18、整机Windows通道支持对当前运行中的应用进行窗口最大化、窗口最小化、应用强制关闭。</w:t>
            </w:r>
          </w:p>
          <w:p w14:paraId="1DCECA4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19、整机处于非内置PC通道下，支持通过侧边栏进入PC通道。</w:t>
            </w:r>
          </w:p>
          <w:p w14:paraId="30502BE2">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20、整机全通道侧边栏快捷菜单支持快捷调节音量、亮度，支持自动亮度模式，支持点击静音按钮静音。</w:t>
            </w:r>
          </w:p>
          <w:p w14:paraId="4AD33CD1">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21、整机全通道侧边栏快捷菜单中应用软件可以进行切换，无需在已经开启的应用软件全屏模式下退出当前应用再选择更换。</w:t>
            </w:r>
          </w:p>
          <w:p w14:paraId="73BF8E7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22、整机全通道侧边栏支持自定义快捷菜单，支持windows应用固定，可将应用固定后，在侧边栏进行快捷打开。</w:t>
            </w:r>
          </w:p>
          <w:p w14:paraId="487A560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23、整机全通道侧边栏快捷菜单中可实时查看物联设备的连接情况，点击设备图标即可调出中控菜单进行管控。</w:t>
            </w:r>
          </w:p>
          <w:p w14:paraId="6B5FC3D7">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24、整机全通道侧边栏快捷菜单支持简洁模式和常规模式切换。</w:t>
            </w:r>
          </w:p>
          <w:p w14:paraId="0950618C">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▲25、整机全通道侧边栏快捷菜单简洁模式，可进行打开批注、降半屏、主页的基础操作。</w:t>
            </w:r>
          </w:p>
          <w:p w14:paraId="36857582">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六、教学桌面设计</w:t>
            </w:r>
          </w:p>
          <w:p w14:paraId="2BA4E9C0">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1、整机设备开机启动后，自动进入教学桌面，支持账号登录、退出，自动获取个人云端教学课件列表、并可进入全部课件列表。</w:t>
            </w:r>
          </w:p>
          <w:p w14:paraId="534CA974">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2、整机设备支持多种身份识别方式，支持通过账号登录、手机扫码登录，并支持账号安全登录检测。</w:t>
            </w:r>
          </w:p>
          <w:p w14:paraId="23A14686">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3、整机设备支持统一互通的用户身份认证服务，账号登录后，打开教学白板软件教学应用工具时无需再次输入账号密码重复登录。</w:t>
            </w:r>
          </w:p>
          <w:p w14:paraId="40918C58">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4、整机设备教学桌面支持教学白板软件和文件管理软件；教学桌面首页支持自定义桌面应用，支持展示至少8个应用入口，并提供进入本机所有应用的入口。（响应时须提供国家认可的第三方检测机构出具的关于该功能检测报告复印件）</w:t>
            </w:r>
          </w:p>
          <w:p w14:paraId="4D9D023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5、整机设备可将应用编辑到教学桌面首页，编辑方式支持从教学桌面首页进入编辑，支持在全部应用列表中进入编辑2种方式。教学桌面首页应用支持无需进入应用编辑页面，在首页指定应用上长按进行移除。（响应时须提供国家认可的第三方检测机构出具的关于该功能检测报告复印件）</w:t>
            </w:r>
          </w:p>
          <w:p w14:paraId="5E69202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6、整机设备教学桌面支持查看设备盘符，支持本地磁盘和外接U盘、移动硬盘，点击即可打开该磁盘查看磁盘文件。教学桌面支持显示存储空间状态，当存储空间即将满载时候进行红色标记明显提示。（响应时须提供国家认可的第三方检测机构出具的关于该功能检测报告复印件）</w:t>
            </w:r>
          </w:p>
          <w:p w14:paraId="2C28D686">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7、整机设备教学桌面支持推荐应用，推荐应用支持移除。</w:t>
            </w:r>
          </w:p>
          <w:p w14:paraId="161839F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8、整机设备教学桌面支持进行应用卸载。</w:t>
            </w:r>
          </w:p>
          <w:p w14:paraId="24401F91">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9、整机设备教学桌面的教师登录账号后，可自动获取并在桌面显示最近使用的教学课件，点击课件可直接进入授课模式；并支持查看所有个人教学课件资源。（响应时须提供国家认可的第三方检测机构出具的关于该功能检测报告复印件）</w:t>
            </w:r>
          </w:p>
          <w:p w14:paraId="4957F17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10、整机设备教学桌面支持进行壁纸编辑，内置10张以上壁纸，支持自定义壁纸。</w:t>
            </w:r>
          </w:p>
          <w:p w14:paraId="7925B237">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11、整机设备教学桌面支持U盘、移动硬盘外接存储设备直接在桌面显示，无需打开文件浏览器即可查看文件列表，并且支持文件打开。支持查看全部文件列表以及按照文档、图片、音视频分类方式查看文件列表。</w:t>
            </w:r>
          </w:p>
          <w:p w14:paraId="32FC1DA2">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12、整机设备教学桌面U盘文件查看窗口支持使用文件浏览器打开U盘。</w:t>
            </w:r>
          </w:p>
          <w:p w14:paraId="7E0FD27E">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13、整机设备教学桌面支持进行通道切换，当设备有其他输入源时，可在桌面点击信号源进行输入源切换。</w:t>
            </w:r>
          </w:p>
          <w:p w14:paraId="28A6182A">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14、整机设备教学桌面支持进行锁屏操作。</w:t>
            </w:r>
          </w:p>
          <w:p w14:paraId="33AE7064">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15、整机设备教学桌面支持进行重启、关机操作。</w:t>
            </w:r>
          </w:p>
          <w:p w14:paraId="50D6AE59">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七、整机硬件设计</w:t>
            </w:r>
          </w:p>
          <w:p w14:paraId="2220BE21">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三合一电源按键，同一电源物理按键完成Android系统和Windows系统的开机、节能熄屏、关机操作；关机状态下按按键开机；开机状态下按按键实现节能熄屏/唤醒，长按按键实现关机。（响应时须提供国家认可的第三方检测机构出具的关于该功能检测报告复印件）</w:t>
            </w:r>
          </w:p>
          <w:p w14:paraId="51529E3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2、整机具备至少6个前置按键，可实现开关机、调出中控菜单、音量+/-、护眼、录屏操作。</w:t>
            </w:r>
          </w:p>
          <w:p w14:paraId="5C74495D">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3、支持经典护眼模式，可通过前置面板物理功能按键一键启用经典护眼模式。</w:t>
            </w:r>
          </w:p>
          <w:p w14:paraId="0432568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4、设备支持通过前置面板物理按键一键启动录屏功能，可将屏幕中显示的课件、音频内容与人声同时录制。</w:t>
            </w:r>
          </w:p>
          <w:p w14:paraId="4F796A7D">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5、前置 USB 接口具备防撞挡板设计，防撞挡板采用转轴式翻转。</w:t>
            </w:r>
          </w:p>
          <w:p w14:paraId="0D2B975C">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6、整机支持5个自定义前置按键，“设置”、“音量-”，“音量+”，“录屏”“护眼”按键，可通过自定义设置实现前置面板功能按键一键启用任一全局小工具（批注、截屏、计时、降半屏、放大镜、倒数日、日历）、快捷开关（节能模式、纸质护眼模式、经典护眼模式、自动亮度模式）。</w:t>
            </w:r>
          </w:p>
          <w:p w14:paraId="0E7E149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7、整机内置2.2声道扬声器，位于设备上边框，顶置朝前发声，前朝向10W高音扬声器2个，上朝向20W中低音扬声器2个，额定总功率60W。（响应时须提供国家认可的第三方检测机构出具的关于该功能检测报告复印件）</w:t>
            </w:r>
          </w:p>
          <w:p w14:paraId="38D3E908">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▲8、整机可选择高级音效设置，支持在左右声道平衡显示范围中进行更改；中低频段显示调节范围125Hz～1KHz，高频段显示调节范围 2KHz～16KHz，分贝显示-12dB～12dB 调节范围。（响应时须提供国家认可的第三方检测机构出具的关于该功能检测报告复印件）</w:t>
            </w:r>
          </w:p>
          <w:p w14:paraId="46BA7D56">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9、整机内置非独立外扩展的4阵列麦克风，可用于对教室环境音频进行采集，麦克风拾音距离≥12米。</w:t>
            </w:r>
          </w:p>
          <w:p w14:paraId="2BB11070">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▲10、整机内置扬声器采用缝隙发声技术，喇叭采用槽式开口设计，不大于5.8mm（响应时须提供国家认可的第三方检测机构出具的关于该功能检测报告复印件）</w:t>
            </w:r>
          </w:p>
          <w:p w14:paraId="7CF71471">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11、整机扬声器在100%音量下，可做到1米处声压级≥88db，10米处声压级≥79dB</w:t>
            </w:r>
          </w:p>
          <w:p w14:paraId="0F7FACA3">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12、内置摄像头、麦克风无需外接线材连接，无任何可见外接线材及模块化拼接痕迹，未占用整机设备端口。</w:t>
            </w:r>
          </w:p>
          <w:p w14:paraId="20E294E3">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13、支持标准、听力、观影和AI空间感知音效模式，AI空间感知音效模式可通过内置麦克风采集教室物理环境声音，自动生成符合当前教室物理环境的频段、音量、音效。</w:t>
            </w:r>
          </w:p>
          <w:p w14:paraId="0A567F87">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14、整机内置摄像头（非外扩），PC通道下支持通过视频展台软件调用摄像头进行二维码扫码识别。</w:t>
            </w:r>
          </w:p>
          <w:p w14:paraId="5FD53A0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15、具备摄像头工作指示灯，摄像头运行时，有指示灯提示。</w:t>
            </w:r>
          </w:p>
          <w:p w14:paraId="5CE651A4">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▲16、整机上边框内置非独立摄像头，采用一体化集成设计，可拍摄≥1300万像素数的照片，可拍摄输出4K分辨率的视频。</w:t>
            </w:r>
          </w:p>
          <w:p w14:paraId="492F1943">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17、整机摄像头对角线视场角≥120度</w:t>
            </w:r>
          </w:p>
          <w:p w14:paraId="18A2727A">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18、整机内置非独立的高清摄像头，可用于远程巡课。</w:t>
            </w:r>
          </w:p>
          <w:p w14:paraId="34A11454">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19、整机摄像头支持人脸识别、清点人数、随机抽人；识别所有学生，显示标记，然后随机抽选，同时显示标记不少于60人。</w:t>
            </w:r>
          </w:p>
          <w:p w14:paraId="739EC5F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▲20、整机支持通过人脸识别进行登录账号。（响应时须提供国家认可的第三方检测机构出具的关于该功能检测报告复印件）</w:t>
            </w:r>
          </w:p>
          <w:p w14:paraId="3C5F016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▲21、整机摄像头支持环境色温判断，根据环境调节合适的显示图像效果。（响应时须提供国家认可的第三方检测机构出具的关于该功能检测报告复印件）</w:t>
            </w:r>
          </w:p>
          <w:p w14:paraId="2D8F8049">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en-US" w:eastAsia="zh-CN"/>
              </w:rPr>
              <w:t>八</w:t>
            </w:r>
            <w:r>
              <w:rPr>
                <w:rFonts w:hint="eastAsia" w:ascii="宋体" w:hAnsi="宋体" w:eastAsia="宋体" w:cs="宋体"/>
                <w:color w:val="000000"/>
                <w:sz w:val="18"/>
                <w:szCs w:val="18"/>
                <w:lang w:val="zh-CN"/>
              </w:rPr>
              <w:t>、智慧互动教学软件</w:t>
            </w:r>
          </w:p>
          <w:p w14:paraId="51892E72">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 xml:space="preserve">▲1、统计考勤：互动反馈系统支持无感考勤功能，学生连接成功后名字可显示在签到列表上，签到列表实时统计已签到人数，并查看未到的人员。（响应时须提供国家认可的第三方检测机构所出具的关于该功能的检测报告） </w:t>
            </w:r>
          </w:p>
          <w:p w14:paraId="677008F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 xml:space="preserve">2、班级创建：支持老师主动创建班级，创建成功后，每次登录教师端即可直接进入班级列表，选择班级进入课堂。 </w:t>
            </w:r>
          </w:p>
          <w:p w14:paraId="351801A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3、互动反馈系统：具备公网互动反馈功能，可将所有学生端和教师端连接在一起构建成为一套互动反馈系统，在系统中可以单选/多选/判断等答题互动，同时支持文件下发、批注下发功能。（响应时须提供国家认可的第三方检测机构所出具的关于该功能的检测报告）</w:t>
            </w:r>
          </w:p>
          <w:p w14:paraId="4E644B5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 xml:space="preserve">4、互动答题系统：支持课中互动反馈系统，提供单选、多选及判断题功能，可一键下发答题指令，支持一次下发多道题目，最多可下发99道题目，学生作答结果实时显示。支持切换柱状图按全班或分组答题结果展示，以提供小组间作答对比。 </w:t>
            </w:r>
          </w:p>
          <w:p w14:paraId="0986D1C0">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5、抢答抽选：互动反馈系统支持抢答、抽选功能，活跃课堂氛围。</w:t>
            </w:r>
          </w:p>
          <w:p w14:paraId="34C8F37E">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6、观点云词：互动反馈系统支持主观观点收集功能，支持学生们自主提交不多于200字的观点评论，并自动生成班级关键词云，点击关键词可查看对应学生名单和具体评论信息。</w:t>
            </w:r>
          </w:p>
          <w:p w14:paraId="59008CFE">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7、课堂报告；互动反馈系统支持一键生成课堂互动报告，包含签到人数，考勤情况，互动次数，学生参与度，支持查看题目详情何答题结果。（响应时须提供国家认可的第三方检测机构所出具的关于该功能的检测报告）</w:t>
            </w:r>
          </w:p>
          <w:p w14:paraId="7AA9495D">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8、资料分发：支持教师下载教室空间的文档格式的资料给全员和小组端，支持的文件包含但不局限于以下格式：音视频格式，文档格式，图片格式。</w:t>
            </w:r>
          </w:p>
          <w:p w14:paraId="38294CF9">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 xml:space="preserve">9、课堂答疑：教师端在连接状态下可实时接收到来自学生的提问，提问内容可根据老师操作自动判断为已读或者未读，并且支持问题放大全屏查看。 </w:t>
            </w:r>
          </w:p>
          <w:p w14:paraId="769980C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10、批注分发：教师端批注功能支持在课中任意时刻对教师端内容进行批注，并且支持批注内容一键保存，自动上传到教师空间，同时发送到全员学生端。（响应时须提供国家认可的第三方检测机构所出具的关于该功能的检测报告）</w:t>
            </w:r>
          </w:p>
          <w:p w14:paraId="42696C8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▲11、授课小工具：教师播放课件时，提供授课小工具，包括画笔、橡皮擦、板中板和分享批注功能等（响应时须提供国家认可的第三方检测机构所出具的关于该功能的检测报告）</w:t>
            </w:r>
          </w:p>
          <w:p w14:paraId="4F4EA5A3">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12、无线传屏：教师端工具栏支持无线传屏，点击开启无线传屏则打开传屏码，老师自带笔记本在互动教学软件输入传屏码即可进行无线传屏。（响应时须提供国家认可的第三方检测机构所出具的关于该功能的检测报告）</w:t>
            </w:r>
          </w:p>
          <w:p w14:paraId="1DBCDC11">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13、课堂动态：支持在课堂中记录课堂动态，包括老师下发的文件，老师课堂中的板书，课堂互动结果记录，课堂提问多种类型的记录。（响应时须提供国家认可的第三方检测机构所出具的关于该功能的检测报告）</w:t>
            </w:r>
          </w:p>
          <w:p w14:paraId="7BDD7CF4">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14、同步课件：当老师在全屏播放课件时，学生端也会同步进行课件播放，老师进行PPT翻页操作时，学生端会同步翻页，保证课堂课件进度同步展示。（响应时须提供国家认可的第三方检测机构所出具的关于该功能的检测报告）</w:t>
            </w:r>
          </w:p>
          <w:p w14:paraId="653B5ED7">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en-US" w:eastAsia="zh-CN"/>
              </w:rPr>
              <w:t>九</w:t>
            </w:r>
            <w:r>
              <w:rPr>
                <w:rFonts w:hint="eastAsia" w:ascii="宋体" w:hAnsi="宋体" w:eastAsia="宋体" w:cs="宋体"/>
                <w:color w:val="000000"/>
                <w:sz w:val="18"/>
                <w:szCs w:val="18"/>
                <w:lang w:val="zh-CN"/>
              </w:rPr>
              <w:t>、其他要求</w:t>
            </w:r>
          </w:p>
          <w:p w14:paraId="7E074E27">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1、为确保货物质量及原厂品质，中标供应商在正式供货时必须提供生产厂家针对此项目的售后服务保证原件、供货证明原件，否则采购人将不予验收通过。</w:t>
            </w:r>
          </w:p>
          <w:p w14:paraId="23C4CB5A">
            <w:pPr>
              <w:rPr>
                <w:rFonts w:hint="eastAsia" w:ascii="宋体" w:hAnsi="宋体" w:cs="宋体"/>
                <w:kern w:val="0"/>
                <w:sz w:val="18"/>
                <w:szCs w:val="18"/>
                <w:lang w:bidi="zh-CN"/>
              </w:rPr>
            </w:pPr>
            <w:r>
              <w:rPr>
                <w:rFonts w:hint="eastAsia" w:ascii="宋体" w:hAnsi="宋体" w:eastAsia="宋体" w:cs="宋体"/>
                <w:color w:val="000000"/>
                <w:sz w:val="18"/>
                <w:szCs w:val="18"/>
                <w:lang w:val="zh-CN"/>
              </w:rPr>
              <w:t>2、打“▲”号条款为重要技术参数，供应商必须满足否则响应无效。成交公示期内若有其他供应商质疑，采购人有权要求成交供应商提供与谈判文件技术参数一致的全部设备一套，以便进行整体性能的核对，协助质疑答复。如出现所提供的样品不符招标要求或无法提供所有样品的视为虚假应标处理并追究法律责任。</w:t>
            </w:r>
          </w:p>
        </w:tc>
        <w:tc>
          <w:tcPr>
            <w:tcW w:w="727" w:type="dxa"/>
            <w:tcBorders>
              <w:top w:val="single" w:color="auto" w:sz="4" w:space="0"/>
              <w:left w:val="nil"/>
              <w:bottom w:val="single" w:color="auto" w:sz="4" w:space="0"/>
              <w:right w:val="single" w:color="auto" w:sz="4" w:space="0"/>
            </w:tcBorders>
            <w:vAlign w:val="center"/>
          </w:tcPr>
          <w:p w14:paraId="5963FEC7">
            <w:pPr>
              <w:widowControl/>
              <w:jc w:val="center"/>
              <w:rPr>
                <w:rFonts w:hint="eastAsia" w:ascii="宋体" w:hAnsi="宋体" w:eastAsia="宋体" w:cs="宋体"/>
                <w:color w:val="000000"/>
                <w:kern w:val="0"/>
                <w:szCs w:val="21"/>
                <w:lang w:val="en-US" w:eastAsia="zh-CN" w:bidi="zh-CN"/>
              </w:rPr>
            </w:pPr>
            <w:r>
              <w:rPr>
                <w:rFonts w:hint="eastAsia" w:ascii="宋体" w:hAnsi="宋体" w:cs="宋体"/>
                <w:color w:val="000000"/>
                <w:kern w:val="0"/>
                <w:szCs w:val="21"/>
                <w:lang w:val="en-US" w:eastAsia="zh-CN" w:bidi="zh-CN"/>
              </w:rPr>
              <w:t>台</w:t>
            </w:r>
          </w:p>
        </w:tc>
        <w:tc>
          <w:tcPr>
            <w:tcW w:w="987" w:type="dxa"/>
            <w:tcBorders>
              <w:top w:val="single" w:color="auto" w:sz="4" w:space="0"/>
              <w:left w:val="nil"/>
              <w:bottom w:val="single" w:color="auto" w:sz="4" w:space="0"/>
              <w:right w:val="single" w:color="auto" w:sz="4" w:space="0"/>
            </w:tcBorders>
            <w:vAlign w:val="center"/>
          </w:tcPr>
          <w:p w14:paraId="56F3D63E">
            <w:pPr>
              <w:widowControl/>
              <w:jc w:val="center"/>
              <w:rPr>
                <w:rFonts w:ascii="宋体" w:hAnsi="宋体" w:cs="宋体"/>
                <w:color w:val="000000"/>
                <w:kern w:val="0"/>
                <w:szCs w:val="21"/>
                <w:highlight w:val="yellow"/>
                <w:lang w:bidi="zh-CN"/>
              </w:rPr>
            </w:pPr>
            <w:r>
              <w:rPr>
                <w:rFonts w:hint="eastAsia" w:ascii="宋体" w:hAnsi="宋体" w:cs="宋体"/>
                <w:color w:val="000000"/>
                <w:kern w:val="0"/>
                <w:szCs w:val="21"/>
                <w:lang w:val="en-US" w:bidi="zh-CN"/>
              </w:rPr>
              <w:t>1</w:t>
            </w:r>
          </w:p>
        </w:tc>
      </w:tr>
      <w:tr w14:paraId="373CCE59">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CED04AA">
            <w:pPr>
              <w:pStyle w:val="9"/>
              <w:widowControl/>
              <w:numPr>
                <w:ilvl w:val="0"/>
                <w:numId w:val="2"/>
              </w:numPr>
              <w:ind w:firstLineChars="0"/>
              <w:jc w:val="center"/>
              <w:rPr>
                <w:rFonts w:ascii="宋体" w:hAnsi="宋体" w:cs="宋体"/>
                <w:color w:val="000000"/>
                <w:kern w:val="0"/>
                <w:lang w:bidi="zh-CN"/>
              </w:rPr>
            </w:pP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DC78B35">
            <w:pPr>
              <w:widowControl/>
              <w:jc w:val="center"/>
              <w:rPr>
                <w:rFonts w:hint="eastAsia" w:ascii="宋体" w:hAnsi="宋体" w:cs="宋体"/>
                <w:color w:val="000000"/>
                <w:kern w:val="0"/>
                <w:szCs w:val="21"/>
                <w:lang w:bidi="zh-CN"/>
              </w:rPr>
            </w:pPr>
            <w:r>
              <w:rPr>
                <w:rFonts w:hint="eastAsia" w:ascii="宋体" w:hAnsi="宋体" w:cs="宋体"/>
                <w:color w:val="000000"/>
                <w:kern w:val="0"/>
                <w:szCs w:val="21"/>
                <w:lang w:bidi="zh-CN"/>
              </w:rPr>
              <w:t>无线传屏器</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75052ADE">
            <w:pPr>
              <w:widowControl/>
              <w:jc w:val="center"/>
              <w:rPr>
                <w:rFonts w:hint="eastAsia" w:ascii="宋体" w:hAnsi="宋体" w:cs="宋体"/>
                <w:color w:val="000000"/>
                <w:kern w:val="0"/>
                <w:szCs w:val="21"/>
                <w:lang w:bidi="zh-CN"/>
              </w:rPr>
            </w:pPr>
            <w:r>
              <w:rPr>
                <w:rFonts w:hint="eastAsia" w:ascii="宋体" w:hAnsi="宋体"/>
                <w:color w:val="000000"/>
                <w:sz w:val="21"/>
                <w:szCs w:val="24"/>
                <w:lang w:val="zh-CN"/>
              </w:rPr>
              <w:t>绿联、优超者、MAXHUB</w:t>
            </w:r>
            <w:r>
              <w:rPr>
                <w:rFonts w:hint="eastAsia" w:ascii="宋体" w:hAnsi="宋体" w:cs="宋体"/>
                <w:color w:val="000000"/>
                <w:kern w:val="0"/>
                <w:szCs w:val="21"/>
                <w:lang w:bidi="zh-CN"/>
              </w:rPr>
              <w:t>等或其他同等以上品牌型号</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53144336">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1.支持50米点对点1080P/60Hz传输，三芯四重防护降低延迟;</w:t>
            </w:r>
          </w:p>
          <w:p w14:paraId="7DEBC471">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2.HDMI/VGA双接口兼容新旧设备;</w:t>
            </w:r>
          </w:p>
          <w:p w14:paraId="4295CE56">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3.USB+Type-C即插即用适配会议教学场景。</w:t>
            </w:r>
          </w:p>
        </w:tc>
        <w:tc>
          <w:tcPr>
            <w:tcW w:w="727" w:type="dxa"/>
            <w:tcBorders>
              <w:top w:val="single" w:color="auto" w:sz="4" w:space="0"/>
              <w:left w:val="nil"/>
              <w:bottom w:val="single" w:color="auto" w:sz="4" w:space="0"/>
              <w:right w:val="single" w:color="auto" w:sz="4" w:space="0"/>
            </w:tcBorders>
            <w:vAlign w:val="center"/>
          </w:tcPr>
          <w:p w14:paraId="1B41959E">
            <w:pPr>
              <w:widowControl/>
              <w:jc w:val="center"/>
              <w:rPr>
                <w:rFonts w:ascii="宋体" w:hAnsi="宋体" w:cs="宋体"/>
                <w:color w:val="000000"/>
                <w:kern w:val="0"/>
                <w:szCs w:val="21"/>
                <w:lang w:bidi="zh-CN"/>
              </w:rPr>
            </w:pPr>
            <w:r>
              <w:rPr>
                <w:rFonts w:hint="eastAsia" w:ascii="宋体" w:hAnsi="宋体" w:cs="宋体"/>
                <w:color w:val="000000"/>
                <w:kern w:val="0"/>
                <w:szCs w:val="21"/>
                <w:lang w:bidi="zh-CN"/>
              </w:rPr>
              <w:t>套</w:t>
            </w:r>
          </w:p>
        </w:tc>
        <w:tc>
          <w:tcPr>
            <w:tcW w:w="987" w:type="dxa"/>
            <w:tcBorders>
              <w:top w:val="single" w:color="auto" w:sz="4" w:space="0"/>
              <w:left w:val="nil"/>
              <w:bottom w:val="single" w:color="auto" w:sz="4" w:space="0"/>
              <w:right w:val="single" w:color="auto" w:sz="4" w:space="0"/>
            </w:tcBorders>
            <w:vAlign w:val="center"/>
          </w:tcPr>
          <w:p w14:paraId="74EA6C8B">
            <w:pPr>
              <w:widowControl/>
              <w:jc w:val="center"/>
              <w:rPr>
                <w:rFonts w:ascii="宋体" w:hAnsi="宋体" w:cs="宋体"/>
                <w:color w:val="000000"/>
                <w:kern w:val="0"/>
                <w:szCs w:val="21"/>
                <w:lang w:bidi="zh-CN"/>
              </w:rPr>
            </w:pPr>
            <w:r>
              <w:rPr>
                <w:rFonts w:hint="eastAsia" w:ascii="宋体" w:hAnsi="宋体" w:cs="宋体"/>
                <w:color w:val="000000"/>
                <w:kern w:val="0"/>
                <w:szCs w:val="21"/>
                <w:lang w:val="en-US" w:bidi="zh-CN"/>
              </w:rPr>
              <w:t>1</w:t>
            </w:r>
          </w:p>
        </w:tc>
      </w:tr>
      <w:tr w14:paraId="1C649AAE">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C6A6567">
            <w:pPr>
              <w:pStyle w:val="9"/>
              <w:widowControl/>
              <w:numPr>
                <w:ilvl w:val="0"/>
                <w:numId w:val="2"/>
              </w:numPr>
              <w:ind w:firstLineChars="0"/>
              <w:jc w:val="center"/>
              <w:rPr>
                <w:rFonts w:ascii="宋体" w:hAnsi="宋体" w:cs="宋体"/>
                <w:color w:val="000000"/>
                <w:kern w:val="0"/>
                <w:lang w:bidi="zh-CN"/>
              </w:rPr>
            </w:pP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4ADC3A8A">
            <w:pPr>
              <w:widowControl/>
              <w:jc w:val="center"/>
              <w:rPr>
                <w:rFonts w:hint="eastAsia" w:ascii="宋体" w:hAnsi="宋体" w:cs="宋体"/>
                <w:color w:val="000000"/>
                <w:kern w:val="0"/>
                <w:szCs w:val="21"/>
                <w:lang w:bidi="zh-CN"/>
              </w:rPr>
            </w:pPr>
            <w:r>
              <w:rPr>
                <w:rFonts w:hint="eastAsia" w:ascii="宋体" w:hAnsi="宋体" w:cs="宋体"/>
                <w:color w:val="000000"/>
                <w:kern w:val="0"/>
                <w:szCs w:val="21"/>
                <w:lang w:bidi="zh-CN"/>
              </w:rPr>
              <w:t>会议桌</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03F289CF">
            <w:pPr>
              <w:widowControl/>
              <w:jc w:val="center"/>
              <w:rPr>
                <w:rFonts w:hint="eastAsia" w:ascii="宋体" w:hAnsi="宋体" w:cs="宋体"/>
                <w:color w:val="000000"/>
                <w:kern w:val="0"/>
                <w:szCs w:val="21"/>
                <w:lang w:bidi="zh-CN"/>
              </w:rPr>
            </w:pPr>
            <w:r>
              <w:rPr>
                <w:rFonts w:hint="eastAsia" w:ascii="宋体" w:hAnsi="宋体"/>
                <w:color w:val="000000"/>
                <w:sz w:val="21"/>
                <w:szCs w:val="24"/>
                <w:lang w:val="zh-CN"/>
              </w:rPr>
              <w:t>轩鑫、常捷、恒巨</w:t>
            </w:r>
            <w:r>
              <w:rPr>
                <w:rFonts w:hint="eastAsia" w:ascii="宋体" w:hAnsi="宋体" w:cs="宋体"/>
                <w:color w:val="000000"/>
                <w:kern w:val="0"/>
                <w:szCs w:val="21"/>
                <w:lang w:bidi="zh-CN"/>
              </w:rPr>
              <w:t>等或其他同等以上品牌型号</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E31AD4C">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1.面板采用25mm厚优质颗粒板双面二聚氰饰面，背板采用15mm厚优质颗粒板双面二聚氰饰面，封边采用1.0mm厚3:1配料PyC经模具生产封边，其经久耐用，不易脱落;</w:t>
            </w:r>
          </w:p>
          <w:p w14:paraId="14178515">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2.侧翻桌钢架两边脚采用优质高精度冷轧钢经及塑胶配件而成，前脚长为640mm，后脚长495mm 宽为50mm，厚平均为1.3mm牢固耐用，美观大方，抗变型，脚管采用优质钢管(50x25x1.3mm)(50X25XT1.3mm),表面采用防锈静电喷涂处理;</w:t>
            </w:r>
          </w:p>
          <w:p w14:paraId="52B91A1A">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3.两脚管距成度角65°，主横梁采用优质钢管管经夹具焊接，表面再经防锈静电喷涂处理，实用牢固，承受力大;</w:t>
            </w:r>
          </w:p>
          <w:p w14:paraId="45CE348E">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4.二层书网采用优质钢板(厚度为0.6mm)经模具注塑成型与圆管组成表面采用防锈静电喷涂处理，外观设计采用人体工程理念及个性化需求，整件产品拼接好，接缝齐整，整体颜色基本相符，过渡自然;</w:t>
            </w:r>
          </w:p>
          <w:p w14:paraId="4DF2EB0C">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5.台架有拉杆拆桑装需，脚轮采用固定式脚垫，造型美观大方，有现代特色;</w:t>
            </w:r>
          </w:p>
          <w:p w14:paraId="12DF4C3A">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6.尺寸：1200W400D750H。</w:t>
            </w:r>
          </w:p>
        </w:tc>
        <w:tc>
          <w:tcPr>
            <w:tcW w:w="727" w:type="dxa"/>
            <w:tcBorders>
              <w:top w:val="single" w:color="auto" w:sz="4" w:space="0"/>
              <w:left w:val="nil"/>
              <w:bottom w:val="single" w:color="auto" w:sz="4" w:space="0"/>
              <w:right w:val="single" w:color="auto" w:sz="4" w:space="0"/>
            </w:tcBorders>
            <w:vAlign w:val="center"/>
          </w:tcPr>
          <w:p w14:paraId="36356E0C">
            <w:pPr>
              <w:widowControl/>
              <w:jc w:val="center"/>
              <w:rPr>
                <w:rFonts w:ascii="宋体" w:hAnsi="宋体" w:cs="宋体"/>
                <w:color w:val="000000"/>
                <w:kern w:val="0"/>
                <w:szCs w:val="21"/>
                <w:lang w:bidi="zh-CN"/>
              </w:rPr>
            </w:pPr>
            <w:r>
              <w:rPr>
                <w:rFonts w:hint="eastAsia" w:ascii="宋体" w:hAnsi="宋体" w:cs="宋体"/>
                <w:color w:val="000000"/>
                <w:kern w:val="0"/>
                <w:szCs w:val="21"/>
                <w:lang w:bidi="zh-CN"/>
              </w:rPr>
              <w:t>张</w:t>
            </w:r>
          </w:p>
        </w:tc>
        <w:tc>
          <w:tcPr>
            <w:tcW w:w="987" w:type="dxa"/>
            <w:tcBorders>
              <w:top w:val="single" w:color="auto" w:sz="4" w:space="0"/>
              <w:left w:val="nil"/>
              <w:bottom w:val="single" w:color="auto" w:sz="4" w:space="0"/>
              <w:right w:val="single" w:color="auto" w:sz="4" w:space="0"/>
            </w:tcBorders>
            <w:vAlign w:val="center"/>
          </w:tcPr>
          <w:p w14:paraId="69BDCDBD">
            <w:pPr>
              <w:widowControl/>
              <w:jc w:val="center"/>
              <w:rPr>
                <w:rFonts w:ascii="宋体" w:hAnsi="宋体" w:cs="宋体"/>
                <w:color w:val="000000"/>
                <w:kern w:val="0"/>
                <w:szCs w:val="21"/>
                <w:lang w:val="en-US" w:bidi="zh-CN"/>
              </w:rPr>
            </w:pPr>
            <w:r>
              <w:rPr>
                <w:rFonts w:hint="eastAsia" w:ascii="宋体" w:hAnsi="宋体" w:cs="宋体"/>
                <w:color w:val="000000"/>
                <w:kern w:val="0"/>
                <w:szCs w:val="21"/>
                <w:lang w:val="en-US" w:bidi="zh-CN"/>
              </w:rPr>
              <w:t>12</w:t>
            </w:r>
          </w:p>
        </w:tc>
      </w:tr>
      <w:tr w14:paraId="52FF509B">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D2159F4">
            <w:pPr>
              <w:pStyle w:val="9"/>
              <w:widowControl/>
              <w:numPr>
                <w:ilvl w:val="0"/>
                <w:numId w:val="2"/>
              </w:numPr>
              <w:ind w:firstLineChars="0"/>
              <w:jc w:val="center"/>
              <w:rPr>
                <w:rFonts w:ascii="宋体" w:hAnsi="宋体" w:cs="宋体"/>
                <w:color w:val="000000"/>
                <w:kern w:val="0"/>
                <w:lang w:bidi="zh-CN"/>
              </w:rPr>
            </w:pP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58265184">
            <w:pPr>
              <w:widowControl/>
              <w:jc w:val="center"/>
              <w:rPr>
                <w:rFonts w:hint="eastAsia" w:ascii="宋体" w:hAnsi="宋体" w:cs="宋体"/>
                <w:color w:val="000000"/>
                <w:kern w:val="0"/>
                <w:szCs w:val="21"/>
                <w:lang w:bidi="zh-CN"/>
              </w:rPr>
            </w:pPr>
            <w:r>
              <w:rPr>
                <w:rFonts w:hint="eastAsia" w:ascii="宋体" w:hAnsi="宋体" w:cs="宋体"/>
                <w:color w:val="000000"/>
                <w:kern w:val="0"/>
                <w:szCs w:val="21"/>
                <w:lang w:bidi="zh-CN"/>
              </w:rPr>
              <w:t>会议椅</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DACC3E1">
            <w:pPr>
              <w:widowControl/>
              <w:jc w:val="center"/>
              <w:rPr>
                <w:rFonts w:hint="eastAsia" w:ascii="宋体" w:hAnsi="宋体" w:cs="宋体"/>
                <w:color w:val="000000"/>
                <w:kern w:val="0"/>
                <w:szCs w:val="21"/>
                <w:lang w:bidi="zh-CN"/>
              </w:rPr>
            </w:pPr>
            <w:r>
              <w:rPr>
                <w:rFonts w:hint="eastAsia" w:ascii="宋体" w:hAnsi="宋体"/>
                <w:color w:val="000000"/>
                <w:sz w:val="21"/>
                <w:szCs w:val="24"/>
                <w:lang w:val="zh-CN"/>
              </w:rPr>
              <w:t>轩鑫、常捷、恒巨</w:t>
            </w:r>
            <w:r>
              <w:rPr>
                <w:rFonts w:hint="eastAsia" w:ascii="宋体" w:hAnsi="宋体" w:cs="宋体"/>
                <w:color w:val="000000"/>
                <w:kern w:val="0"/>
                <w:szCs w:val="21"/>
                <w:lang w:bidi="zh-CN"/>
              </w:rPr>
              <w:t>等或其他同等以上品牌型号</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62E03741">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1.椅背：背框PP+玻纤材质，高弹性透气加密网布，提供背部舒适支撑，拉力符合BIFMA测试标准。</w:t>
            </w:r>
          </w:p>
          <w:p w14:paraId="27AC651B">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2.椅座：采用3CM高弹力舒适海绵，高弹力优质透气座布，座板为定制多层弯曲板，配PP工程塑料防尘底壳，座垫可翻转。</w:t>
            </w:r>
          </w:p>
          <w:p w14:paraId="6DC90EEE">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3.扶手：优质 PP+玻纤材质，为可滑动款式。</w:t>
            </w:r>
          </w:p>
          <w:p w14:paraId="7B2814CF">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4.椅架：32.5*20.5*T1.5mm优质钢管脚架，横梁1.8厚表面喷涂烤漆工艺，尼龙材质防滑脚垫。                                                                                                                                         5.写字板：采用优质PP+玻纤加厚板面，采用实心铁支架配连接件铝合金压铸，板面可以旋转收放使用。</w:t>
            </w:r>
          </w:p>
          <w:p w14:paraId="5F2AEA98">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6.功能：整椅可折叠收纳，节省摆放空间。</w:t>
            </w:r>
          </w:p>
        </w:tc>
        <w:tc>
          <w:tcPr>
            <w:tcW w:w="727" w:type="dxa"/>
            <w:tcBorders>
              <w:top w:val="single" w:color="auto" w:sz="4" w:space="0"/>
              <w:left w:val="nil"/>
              <w:bottom w:val="single" w:color="auto" w:sz="4" w:space="0"/>
              <w:right w:val="single" w:color="auto" w:sz="4" w:space="0"/>
            </w:tcBorders>
            <w:vAlign w:val="center"/>
          </w:tcPr>
          <w:p w14:paraId="6759BBD0">
            <w:pPr>
              <w:widowControl/>
              <w:jc w:val="center"/>
              <w:rPr>
                <w:rFonts w:ascii="宋体" w:hAnsi="宋体" w:cs="宋体"/>
                <w:color w:val="000000"/>
                <w:kern w:val="0"/>
                <w:szCs w:val="21"/>
                <w:lang w:bidi="zh-CN"/>
              </w:rPr>
            </w:pPr>
            <w:r>
              <w:rPr>
                <w:rFonts w:hint="eastAsia" w:ascii="宋体" w:hAnsi="宋体" w:cs="宋体"/>
                <w:color w:val="000000"/>
                <w:kern w:val="0"/>
                <w:szCs w:val="21"/>
                <w:lang w:bidi="zh-CN"/>
              </w:rPr>
              <w:t>张</w:t>
            </w:r>
          </w:p>
        </w:tc>
        <w:tc>
          <w:tcPr>
            <w:tcW w:w="987" w:type="dxa"/>
            <w:tcBorders>
              <w:top w:val="single" w:color="auto" w:sz="4" w:space="0"/>
              <w:left w:val="nil"/>
              <w:bottom w:val="single" w:color="auto" w:sz="4" w:space="0"/>
              <w:right w:val="single" w:color="auto" w:sz="4" w:space="0"/>
            </w:tcBorders>
            <w:vAlign w:val="center"/>
          </w:tcPr>
          <w:p w14:paraId="59CCC92B">
            <w:pPr>
              <w:widowControl/>
              <w:jc w:val="center"/>
              <w:rPr>
                <w:rFonts w:ascii="宋体" w:hAnsi="宋体" w:cs="宋体"/>
                <w:color w:val="000000"/>
                <w:kern w:val="0"/>
                <w:szCs w:val="21"/>
                <w:lang w:val="en-US" w:bidi="zh-CN"/>
              </w:rPr>
            </w:pPr>
            <w:r>
              <w:rPr>
                <w:rFonts w:hint="eastAsia" w:ascii="宋体" w:hAnsi="宋体" w:cs="宋体"/>
                <w:color w:val="000000"/>
                <w:kern w:val="0"/>
                <w:szCs w:val="21"/>
                <w:lang w:val="en-US" w:bidi="zh-CN"/>
              </w:rPr>
              <w:t>24</w:t>
            </w:r>
          </w:p>
        </w:tc>
      </w:tr>
      <w:tr w14:paraId="4D9C928D">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5CF9C60">
            <w:pPr>
              <w:pStyle w:val="9"/>
              <w:widowControl/>
              <w:numPr>
                <w:ilvl w:val="0"/>
                <w:numId w:val="2"/>
              </w:numPr>
              <w:ind w:firstLineChars="0"/>
              <w:jc w:val="center"/>
              <w:rPr>
                <w:rFonts w:ascii="宋体" w:hAnsi="宋体" w:cs="宋体"/>
                <w:color w:val="000000"/>
                <w:kern w:val="0"/>
                <w:lang w:bidi="zh-CN"/>
              </w:rPr>
            </w:pP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EEBE67E">
            <w:pPr>
              <w:widowControl/>
              <w:jc w:val="center"/>
              <w:rPr>
                <w:rFonts w:ascii="宋体" w:hAnsi="宋体" w:cs="宋体"/>
                <w:color w:val="000000"/>
                <w:kern w:val="0"/>
                <w:szCs w:val="21"/>
                <w:lang w:bidi="zh-CN"/>
              </w:rPr>
            </w:pPr>
            <w:r>
              <w:rPr>
                <w:rFonts w:hint="eastAsia" w:ascii="宋体" w:hAnsi="宋体" w:cs="宋体"/>
                <w:color w:val="000000"/>
                <w:kern w:val="0"/>
                <w:szCs w:val="21"/>
                <w:lang w:bidi="zh-CN"/>
              </w:rPr>
              <w:t>发言台</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D15CF93">
            <w:pPr>
              <w:widowControl/>
              <w:jc w:val="center"/>
              <w:rPr>
                <w:rFonts w:hint="eastAsia" w:ascii="宋体" w:hAnsi="宋体" w:cs="宋体"/>
                <w:color w:val="000000"/>
                <w:kern w:val="0"/>
                <w:szCs w:val="21"/>
                <w:lang w:bidi="zh-CN"/>
              </w:rPr>
            </w:pPr>
            <w:r>
              <w:rPr>
                <w:rFonts w:hint="eastAsia" w:ascii="宋体" w:hAnsi="宋体"/>
                <w:color w:val="000000"/>
                <w:sz w:val="21"/>
                <w:szCs w:val="24"/>
                <w:lang w:val="zh-CN"/>
              </w:rPr>
              <w:t>轩鑫、常捷、恒巨</w:t>
            </w:r>
            <w:r>
              <w:rPr>
                <w:rFonts w:hint="eastAsia" w:ascii="宋体" w:hAnsi="宋体" w:cs="宋体"/>
                <w:color w:val="000000"/>
                <w:kern w:val="0"/>
                <w:szCs w:val="21"/>
                <w:lang w:bidi="zh-CN"/>
              </w:rPr>
              <w:t>等或其他同等以上品牌型号</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0D48949">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1.面板采用25mm厚优质密度板双面三聚氰胺饰面，其余板材采用15mm厚优质密度板双面三聚氰胺饰面;</w:t>
            </w:r>
          </w:p>
          <w:p w14:paraId="2F075C92">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2.封边采用1.5mm厚3:1配料PVC经模具生产封边,其余采用1.0mm厚3:1配料PVC封边,所有封边经高温全自动机器封边，经久耐用，不易脱落，优质五金配件;</w:t>
            </w:r>
          </w:p>
          <w:p w14:paraId="0EE55DE9">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3.产品尺寸：600W450D1100H。</w:t>
            </w:r>
          </w:p>
        </w:tc>
        <w:tc>
          <w:tcPr>
            <w:tcW w:w="727" w:type="dxa"/>
            <w:tcBorders>
              <w:top w:val="single" w:color="auto" w:sz="4" w:space="0"/>
              <w:left w:val="nil"/>
              <w:bottom w:val="single" w:color="auto" w:sz="4" w:space="0"/>
              <w:right w:val="single" w:color="auto" w:sz="4" w:space="0"/>
            </w:tcBorders>
            <w:vAlign w:val="center"/>
          </w:tcPr>
          <w:p w14:paraId="22891117">
            <w:pPr>
              <w:widowControl/>
              <w:jc w:val="center"/>
              <w:rPr>
                <w:rFonts w:ascii="宋体" w:hAnsi="宋体" w:cs="宋体"/>
                <w:color w:val="000000"/>
                <w:kern w:val="0"/>
                <w:szCs w:val="21"/>
                <w:lang w:bidi="zh-CN"/>
              </w:rPr>
            </w:pPr>
            <w:r>
              <w:rPr>
                <w:rFonts w:hint="eastAsia" w:ascii="宋体" w:hAnsi="宋体" w:cs="宋体"/>
                <w:color w:val="000000"/>
                <w:kern w:val="0"/>
                <w:szCs w:val="21"/>
                <w:lang w:bidi="zh-CN"/>
              </w:rPr>
              <w:t>张</w:t>
            </w:r>
          </w:p>
        </w:tc>
        <w:tc>
          <w:tcPr>
            <w:tcW w:w="987" w:type="dxa"/>
            <w:tcBorders>
              <w:top w:val="single" w:color="auto" w:sz="4" w:space="0"/>
              <w:left w:val="nil"/>
              <w:bottom w:val="single" w:color="auto" w:sz="4" w:space="0"/>
              <w:right w:val="single" w:color="auto" w:sz="4" w:space="0"/>
            </w:tcBorders>
            <w:vAlign w:val="center"/>
          </w:tcPr>
          <w:p w14:paraId="26391DCF">
            <w:pPr>
              <w:widowControl/>
              <w:jc w:val="center"/>
              <w:rPr>
                <w:rFonts w:ascii="宋体" w:hAnsi="宋体" w:cs="宋体"/>
                <w:color w:val="000000"/>
                <w:kern w:val="0"/>
                <w:szCs w:val="21"/>
                <w:lang w:bidi="zh-CN"/>
              </w:rPr>
            </w:pPr>
            <w:r>
              <w:rPr>
                <w:rFonts w:hint="eastAsia" w:ascii="宋体" w:hAnsi="宋体" w:cs="宋体"/>
                <w:color w:val="000000"/>
                <w:kern w:val="0"/>
                <w:szCs w:val="21"/>
                <w:lang w:bidi="zh-CN"/>
              </w:rPr>
              <w:t>1</w:t>
            </w:r>
          </w:p>
        </w:tc>
      </w:tr>
      <w:tr w14:paraId="01E90152">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AFB069F">
            <w:pPr>
              <w:pStyle w:val="9"/>
              <w:widowControl/>
              <w:numPr>
                <w:ilvl w:val="0"/>
                <w:numId w:val="2"/>
              </w:numPr>
              <w:ind w:firstLineChars="0"/>
              <w:jc w:val="center"/>
              <w:rPr>
                <w:rFonts w:ascii="宋体" w:hAnsi="宋体" w:cs="宋体"/>
                <w:color w:val="000000"/>
                <w:kern w:val="0"/>
                <w:lang w:bidi="zh-CN"/>
              </w:rPr>
            </w:pP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68332C56">
            <w:pPr>
              <w:widowControl/>
              <w:jc w:val="center"/>
              <w:rPr>
                <w:rFonts w:hint="eastAsia" w:ascii="宋体" w:hAnsi="宋体" w:cs="宋体"/>
                <w:color w:val="000000"/>
                <w:kern w:val="0"/>
                <w:szCs w:val="21"/>
                <w:lang w:bidi="zh-CN"/>
              </w:rPr>
            </w:pPr>
            <w:r>
              <w:rPr>
                <w:rFonts w:hint="eastAsia" w:ascii="宋体" w:hAnsi="宋体" w:cs="宋体"/>
                <w:color w:val="000000"/>
                <w:kern w:val="0"/>
                <w:szCs w:val="21"/>
                <w:lang w:bidi="zh-CN"/>
              </w:rPr>
              <w:t>玻璃贴膜</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C143835">
            <w:pPr>
              <w:widowControl/>
              <w:jc w:val="center"/>
              <w:rPr>
                <w:rFonts w:hint="eastAsia" w:ascii="宋体" w:hAnsi="宋体" w:cs="宋体"/>
                <w:color w:val="000000"/>
                <w:kern w:val="0"/>
                <w:szCs w:val="21"/>
                <w:lang w:bidi="zh-CN"/>
              </w:rPr>
            </w:pPr>
            <w:r>
              <w:rPr>
                <w:rFonts w:hint="eastAsia" w:ascii="宋体" w:hAnsi="宋体" w:cs="宋体"/>
                <w:color w:val="000000"/>
                <w:kern w:val="0"/>
                <w:szCs w:val="21"/>
                <w:lang w:bidi="zh-CN"/>
              </w:rPr>
              <w:t>国产、定制</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46CB332D">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1.加厚隐私防窥膜，高密度磨砂材质；</w:t>
            </w:r>
          </w:p>
          <w:p w14:paraId="2BB33D4A">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2.加厚升级、安全无异味、遮阳防晒；</w:t>
            </w:r>
          </w:p>
          <w:p w14:paraId="4C8BF117">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3.遮蔽率：≥95%。</w:t>
            </w:r>
          </w:p>
          <w:p w14:paraId="0EA50438">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4.无甲醛、无氨基联苯、无邻甲苯安、无味、</w:t>
            </w:r>
            <w:bookmarkStart w:id="0" w:name="_GoBack"/>
            <w:bookmarkEnd w:id="0"/>
            <w:r>
              <w:rPr>
                <w:rFonts w:hint="eastAsia" w:ascii="宋体" w:hAnsi="宋体" w:cs="宋体"/>
                <w:kern w:val="0"/>
                <w:sz w:val="18"/>
                <w:szCs w:val="18"/>
                <w:lang w:bidi="zh-CN"/>
              </w:rPr>
              <w:t>无毒、环保、不含挥发性化学成分。</w:t>
            </w:r>
          </w:p>
          <w:p w14:paraId="7B5AAFB1">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5.可干擦、湿擦等。</w:t>
            </w:r>
          </w:p>
          <w:p w14:paraId="72AD02AA">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6.尺寸：</w:t>
            </w:r>
            <w:r>
              <w:rPr>
                <w:rFonts w:hint="eastAsia" w:ascii="宋体" w:hAnsi="宋体" w:cs="宋体"/>
                <w:kern w:val="0"/>
                <w:sz w:val="18"/>
                <w:szCs w:val="18"/>
                <w:lang w:val="en-US" w:bidi="zh-CN"/>
              </w:rPr>
              <w:t>2.64</w:t>
            </w:r>
            <w:r>
              <w:rPr>
                <w:rFonts w:hint="eastAsia" w:ascii="宋体" w:hAnsi="宋体" w:cs="宋体"/>
                <w:kern w:val="0"/>
                <w:sz w:val="18"/>
                <w:szCs w:val="18"/>
                <w:lang w:bidi="zh-CN"/>
              </w:rPr>
              <w:t>*1.</w:t>
            </w:r>
            <w:r>
              <w:rPr>
                <w:rFonts w:hint="eastAsia" w:ascii="宋体" w:hAnsi="宋体" w:cs="宋体"/>
                <w:kern w:val="0"/>
                <w:sz w:val="18"/>
                <w:szCs w:val="18"/>
                <w:lang w:val="en-US" w:bidi="zh-CN"/>
              </w:rPr>
              <w:t>16</w:t>
            </w:r>
            <w:r>
              <w:rPr>
                <w:rFonts w:hint="eastAsia" w:ascii="宋体" w:hAnsi="宋体" w:cs="宋体"/>
                <w:kern w:val="0"/>
                <w:sz w:val="18"/>
                <w:szCs w:val="18"/>
                <w:lang w:bidi="zh-CN"/>
              </w:rPr>
              <w:t>m</w:t>
            </w:r>
          </w:p>
        </w:tc>
        <w:tc>
          <w:tcPr>
            <w:tcW w:w="727" w:type="dxa"/>
            <w:tcBorders>
              <w:top w:val="single" w:color="auto" w:sz="4" w:space="0"/>
              <w:left w:val="nil"/>
              <w:bottom w:val="single" w:color="auto" w:sz="4" w:space="0"/>
              <w:right w:val="single" w:color="auto" w:sz="4" w:space="0"/>
            </w:tcBorders>
            <w:vAlign w:val="center"/>
          </w:tcPr>
          <w:p w14:paraId="2E3F6ADF">
            <w:pPr>
              <w:widowControl/>
              <w:jc w:val="center"/>
              <w:rPr>
                <w:rFonts w:ascii="宋体" w:hAnsi="宋体" w:cs="宋体"/>
                <w:color w:val="000000"/>
                <w:kern w:val="0"/>
                <w:szCs w:val="21"/>
                <w:lang w:bidi="zh-CN"/>
              </w:rPr>
            </w:pPr>
            <w:r>
              <w:rPr>
                <w:rFonts w:hint="eastAsia" w:ascii="宋体" w:hAnsi="宋体" w:eastAsia="宋体" w:cs="宋体"/>
                <w:color w:val="000000"/>
                <w:kern w:val="0"/>
                <w:szCs w:val="21"/>
                <w:lang w:bidi="zh-CN"/>
              </w:rPr>
              <w:t>㎡</w:t>
            </w:r>
          </w:p>
        </w:tc>
        <w:tc>
          <w:tcPr>
            <w:tcW w:w="987" w:type="dxa"/>
            <w:tcBorders>
              <w:top w:val="single" w:color="auto" w:sz="4" w:space="0"/>
              <w:left w:val="nil"/>
              <w:bottom w:val="single" w:color="auto" w:sz="4" w:space="0"/>
              <w:right w:val="single" w:color="auto" w:sz="4" w:space="0"/>
            </w:tcBorders>
            <w:vAlign w:val="center"/>
          </w:tcPr>
          <w:p w14:paraId="0A8E1BBB">
            <w:pPr>
              <w:widowControl/>
              <w:jc w:val="center"/>
              <w:rPr>
                <w:rFonts w:ascii="宋体" w:hAnsi="宋体" w:cs="宋体"/>
                <w:color w:val="000000"/>
                <w:kern w:val="0"/>
                <w:szCs w:val="21"/>
                <w:lang w:bidi="zh-CN"/>
              </w:rPr>
            </w:pPr>
            <w:r>
              <w:rPr>
                <w:rFonts w:hint="eastAsia" w:ascii="宋体" w:hAnsi="宋体" w:cs="宋体"/>
                <w:color w:val="000000"/>
                <w:kern w:val="0"/>
                <w:szCs w:val="21"/>
                <w:lang w:val="en-US" w:bidi="zh-CN"/>
              </w:rPr>
              <w:t>2</w:t>
            </w:r>
          </w:p>
        </w:tc>
      </w:tr>
      <w:tr w14:paraId="13E86038">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FEF0B18">
            <w:pPr>
              <w:pStyle w:val="9"/>
              <w:widowControl/>
              <w:numPr>
                <w:ilvl w:val="0"/>
                <w:numId w:val="2"/>
              </w:numPr>
              <w:ind w:firstLineChars="0"/>
              <w:jc w:val="center"/>
              <w:rPr>
                <w:rFonts w:ascii="宋体" w:hAnsi="宋体" w:cs="宋体"/>
                <w:color w:val="000000"/>
                <w:kern w:val="0"/>
                <w:lang w:bidi="zh-CN"/>
              </w:rPr>
            </w:pP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5513E5B6">
            <w:pPr>
              <w:widowControl/>
              <w:jc w:val="center"/>
              <w:rPr>
                <w:rFonts w:hint="eastAsia" w:ascii="宋体" w:hAnsi="宋体" w:cs="宋体"/>
                <w:color w:val="000000"/>
                <w:kern w:val="0"/>
                <w:szCs w:val="21"/>
                <w:lang w:bidi="zh-CN"/>
              </w:rPr>
            </w:pPr>
            <w:r>
              <w:rPr>
                <w:rFonts w:hint="eastAsia" w:ascii="宋体" w:hAnsi="宋体" w:cs="宋体"/>
                <w:color w:val="000000"/>
                <w:kern w:val="0"/>
                <w:szCs w:val="21"/>
                <w:lang w:bidi="zh-CN"/>
              </w:rPr>
              <w:t>移动支架</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05E386FE">
            <w:pPr>
              <w:widowControl/>
              <w:jc w:val="center"/>
              <w:rPr>
                <w:rFonts w:hint="eastAsia" w:ascii="宋体" w:hAnsi="宋体" w:cs="宋体"/>
                <w:color w:val="000000"/>
                <w:kern w:val="0"/>
                <w:szCs w:val="21"/>
                <w:lang w:bidi="zh-CN"/>
              </w:rPr>
            </w:pPr>
            <w:r>
              <w:rPr>
                <w:rFonts w:hint="eastAsia" w:ascii="宋体" w:hAnsi="宋体" w:cs="宋体"/>
                <w:color w:val="000000"/>
                <w:kern w:val="0"/>
                <w:szCs w:val="21"/>
                <w:lang w:bidi="zh-CN"/>
              </w:rPr>
              <w:t>国产、定制</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75A49708">
            <w:pPr>
              <w:spacing w:line="240" w:lineRule="atLeast"/>
              <w:rPr>
                <w:rFonts w:hint="eastAsia" w:ascii="宋体" w:hAnsi="宋体"/>
                <w:color w:val="000000"/>
                <w:sz w:val="18"/>
                <w:szCs w:val="18"/>
                <w:lang w:val="zh-CN"/>
              </w:rPr>
            </w:pPr>
            <w:r>
              <w:rPr>
                <w:rFonts w:hint="eastAsia" w:ascii="宋体" w:hAnsi="宋体"/>
                <w:color w:val="000000"/>
                <w:sz w:val="18"/>
                <w:szCs w:val="18"/>
                <w:lang w:val="zh-CN"/>
              </w:rPr>
              <w:t>1.挂架材质：冷轧钢板；</w:t>
            </w:r>
          </w:p>
          <w:p w14:paraId="7FBF8D33">
            <w:pPr>
              <w:spacing w:line="240" w:lineRule="atLeast"/>
              <w:rPr>
                <w:rFonts w:hint="eastAsia" w:ascii="宋体" w:hAnsi="宋体"/>
                <w:color w:val="000000"/>
                <w:sz w:val="18"/>
                <w:szCs w:val="18"/>
                <w:lang w:val="zh-CN"/>
              </w:rPr>
            </w:pPr>
            <w:r>
              <w:rPr>
                <w:rFonts w:hint="eastAsia" w:ascii="宋体" w:hAnsi="宋体"/>
                <w:color w:val="000000"/>
                <w:sz w:val="18"/>
                <w:szCs w:val="18"/>
                <w:lang w:val="zh-CN"/>
              </w:rPr>
              <w:t>2.适用一体机尺寸：75英寸-86英寸；</w:t>
            </w:r>
          </w:p>
          <w:p w14:paraId="3A5A383F">
            <w:pPr>
              <w:spacing w:line="240" w:lineRule="atLeast"/>
              <w:rPr>
                <w:rFonts w:hint="eastAsia" w:ascii="宋体" w:hAnsi="宋体"/>
                <w:color w:val="000000"/>
                <w:sz w:val="18"/>
                <w:szCs w:val="18"/>
                <w:lang w:val="zh-CN"/>
              </w:rPr>
            </w:pPr>
            <w:r>
              <w:rPr>
                <w:rFonts w:hint="eastAsia" w:ascii="宋体" w:hAnsi="宋体"/>
                <w:color w:val="000000"/>
                <w:sz w:val="18"/>
                <w:szCs w:val="18"/>
                <w:lang w:val="zh-CN"/>
              </w:rPr>
              <w:t>3.配置置物托盘，一体式底座；</w:t>
            </w:r>
          </w:p>
          <w:p w14:paraId="7B3C60D7">
            <w:pPr>
              <w:widowControl/>
              <w:jc w:val="left"/>
              <w:rPr>
                <w:rFonts w:hint="eastAsia" w:ascii="宋体" w:hAnsi="宋体" w:cs="宋体"/>
                <w:kern w:val="0"/>
                <w:sz w:val="18"/>
                <w:szCs w:val="18"/>
                <w:lang w:bidi="zh-CN"/>
              </w:rPr>
            </w:pPr>
            <w:r>
              <w:rPr>
                <w:rFonts w:hint="eastAsia" w:ascii="宋体" w:hAnsi="宋体"/>
                <w:color w:val="000000"/>
                <w:sz w:val="18"/>
                <w:szCs w:val="18"/>
                <w:lang w:val="zh-CN"/>
              </w:rPr>
              <w:t>4.带万向橡胶轮，耐磨减震，脚踩刹车，方便移动与固定。</w:t>
            </w:r>
          </w:p>
        </w:tc>
        <w:tc>
          <w:tcPr>
            <w:tcW w:w="727" w:type="dxa"/>
            <w:tcBorders>
              <w:top w:val="single" w:color="auto" w:sz="4" w:space="0"/>
              <w:left w:val="nil"/>
              <w:bottom w:val="single" w:color="auto" w:sz="4" w:space="0"/>
              <w:right w:val="single" w:color="auto" w:sz="4" w:space="0"/>
            </w:tcBorders>
            <w:vAlign w:val="center"/>
          </w:tcPr>
          <w:p w14:paraId="2D20DB6C">
            <w:pPr>
              <w:widowControl/>
              <w:jc w:val="center"/>
              <w:rPr>
                <w:rFonts w:ascii="宋体" w:hAnsi="宋体" w:cs="宋体"/>
                <w:color w:val="000000"/>
                <w:kern w:val="0"/>
                <w:szCs w:val="21"/>
                <w:lang w:val="en-US" w:bidi="zh-CN"/>
              </w:rPr>
            </w:pPr>
            <w:r>
              <w:rPr>
                <w:rFonts w:hint="eastAsia" w:ascii="宋体" w:hAnsi="宋体" w:cs="宋体"/>
                <w:color w:val="000000"/>
                <w:kern w:val="0"/>
                <w:szCs w:val="21"/>
                <w:lang w:bidi="zh-CN"/>
              </w:rPr>
              <w:t>套</w:t>
            </w:r>
          </w:p>
        </w:tc>
        <w:tc>
          <w:tcPr>
            <w:tcW w:w="987" w:type="dxa"/>
            <w:tcBorders>
              <w:top w:val="single" w:color="auto" w:sz="4" w:space="0"/>
              <w:left w:val="nil"/>
              <w:bottom w:val="single" w:color="auto" w:sz="4" w:space="0"/>
              <w:right w:val="single" w:color="auto" w:sz="4" w:space="0"/>
            </w:tcBorders>
            <w:vAlign w:val="center"/>
          </w:tcPr>
          <w:p w14:paraId="78C3AADC">
            <w:pPr>
              <w:widowControl/>
              <w:jc w:val="center"/>
              <w:rPr>
                <w:rFonts w:ascii="宋体" w:hAnsi="宋体" w:cs="宋体"/>
                <w:color w:val="000000"/>
                <w:kern w:val="0"/>
                <w:szCs w:val="21"/>
                <w:lang w:bidi="zh-CN"/>
              </w:rPr>
            </w:pPr>
            <w:r>
              <w:rPr>
                <w:rFonts w:hint="eastAsia" w:ascii="宋体" w:hAnsi="宋体" w:cs="宋体"/>
                <w:color w:val="000000"/>
                <w:kern w:val="0"/>
                <w:szCs w:val="21"/>
                <w:lang w:bidi="zh-CN"/>
              </w:rPr>
              <w:t>1</w:t>
            </w:r>
          </w:p>
        </w:tc>
      </w:tr>
      <w:tr w14:paraId="449E3D92">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45C03F8">
            <w:pPr>
              <w:pStyle w:val="9"/>
              <w:widowControl/>
              <w:numPr>
                <w:ilvl w:val="0"/>
                <w:numId w:val="2"/>
              </w:numPr>
              <w:ind w:firstLineChars="0"/>
              <w:jc w:val="center"/>
              <w:rPr>
                <w:rFonts w:ascii="宋体" w:hAnsi="宋体" w:cs="宋体"/>
                <w:color w:val="000000"/>
                <w:kern w:val="0"/>
                <w:lang w:bidi="zh-CN"/>
              </w:rPr>
            </w:pP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55EA7055">
            <w:pPr>
              <w:widowControl/>
              <w:jc w:val="center"/>
              <w:rPr>
                <w:rFonts w:hint="eastAsia" w:ascii="宋体" w:hAnsi="宋体" w:cs="宋体"/>
                <w:color w:val="000000"/>
                <w:kern w:val="0"/>
                <w:szCs w:val="21"/>
                <w:lang w:bidi="zh-CN"/>
              </w:rPr>
            </w:pPr>
            <w:r>
              <w:rPr>
                <w:rFonts w:hint="eastAsia" w:ascii="宋体" w:hAnsi="宋体" w:cs="宋体"/>
                <w:color w:val="000000"/>
                <w:kern w:val="0"/>
                <w:szCs w:val="21"/>
                <w:lang w:bidi="zh-CN"/>
              </w:rPr>
              <w:t>安装调试</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0C37F009">
            <w:pPr>
              <w:widowControl/>
              <w:jc w:val="center"/>
              <w:rPr>
                <w:rFonts w:hint="eastAsia" w:ascii="宋体" w:hAnsi="宋体" w:cs="宋体"/>
                <w:color w:val="000000"/>
                <w:kern w:val="0"/>
                <w:szCs w:val="21"/>
                <w:lang w:bidi="zh-CN"/>
              </w:rPr>
            </w:pPr>
            <w:r>
              <w:rPr>
                <w:rFonts w:hint="eastAsia" w:ascii="宋体" w:hAnsi="宋体" w:cs="宋体"/>
                <w:color w:val="000000"/>
                <w:kern w:val="0"/>
                <w:szCs w:val="21"/>
                <w:lang w:bidi="zh-CN"/>
              </w:rPr>
              <w:t>国产、定制</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708970BD">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1.选定最佳安装位置，将所有设备规范安装，达到客户要求。</w:t>
            </w:r>
          </w:p>
          <w:p w14:paraId="4B2CE18A">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2.现场所需线材的布线施工，布线规整，选定最佳线路走向，达到布线规范及不浪费材料的标准。</w:t>
            </w:r>
          </w:p>
          <w:p w14:paraId="1D1B3EBA">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3.所有设备安装完毕，调试链接起来，实现设备的所有功能；</w:t>
            </w:r>
          </w:p>
          <w:p w14:paraId="203332E2">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4.所有安装及调试需专业技术员进行，保证效率与专业性；</w:t>
            </w:r>
          </w:p>
          <w:p w14:paraId="66ECEAEE">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5.安装所需辅材（包含线槽、线管、插座、电源线等）；</w:t>
            </w:r>
          </w:p>
          <w:p w14:paraId="333EF261">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6.安装完毕，做好现场清洁工作，交付一个干净美观的使用现场；</w:t>
            </w:r>
          </w:p>
          <w:p w14:paraId="2FD5CCD3">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7.调试完交付使用，培训客户使用，做到动用易用好用。</w:t>
            </w:r>
          </w:p>
        </w:tc>
        <w:tc>
          <w:tcPr>
            <w:tcW w:w="727" w:type="dxa"/>
            <w:tcBorders>
              <w:top w:val="single" w:color="auto" w:sz="4" w:space="0"/>
              <w:left w:val="nil"/>
              <w:bottom w:val="single" w:color="auto" w:sz="4" w:space="0"/>
              <w:right w:val="single" w:color="auto" w:sz="4" w:space="0"/>
            </w:tcBorders>
            <w:vAlign w:val="center"/>
          </w:tcPr>
          <w:p w14:paraId="19E1E252">
            <w:pPr>
              <w:widowControl/>
              <w:jc w:val="center"/>
              <w:rPr>
                <w:rFonts w:ascii="宋体" w:hAnsi="宋体" w:cs="宋体"/>
                <w:color w:val="000000"/>
                <w:kern w:val="0"/>
                <w:szCs w:val="21"/>
                <w:lang w:bidi="zh-CN"/>
              </w:rPr>
            </w:pPr>
            <w:r>
              <w:rPr>
                <w:rFonts w:hint="eastAsia" w:ascii="宋体" w:hAnsi="宋体" w:cs="宋体"/>
                <w:color w:val="000000"/>
                <w:kern w:val="0"/>
                <w:szCs w:val="21"/>
                <w:lang w:bidi="zh-CN"/>
              </w:rPr>
              <w:t>项</w:t>
            </w:r>
          </w:p>
        </w:tc>
        <w:tc>
          <w:tcPr>
            <w:tcW w:w="987" w:type="dxa"/>
            <w:tcBorders>
              <w:top w:val="single" w:color="auto" w:sz="4" w:space="0"/>
              <w:left w:val="nil"/>
              <w:bottom w:val="single" w:color="auto" w:sz="4" w:space="0"/>
              <w:right w:val="single" w:color="auto" w:sz="4" w:space="0"/>
            </w:tcBorders>
            <w:vAlign w:val="center"/>
          </w:tcPr>
          <w:p w14:paraId="67671631">
            <w:pPr>
              <w:widowControl/>
              <w:jc w:val="center"/>
              <w:rPr>
                <w:rFonts w:ascii="宋体" w:hAnsi="宋体" w:cs="宋体"/>
                <w:color w:val="000000"/>
                <w:kern w:val="0"/>
                <w:szCs w:val="21"/>
                <w:lang w:bidi="zh-CN"/>
              </w:rPr>
            </w:pPr>
            <w:r>
              <w:rPr>
                <w:rFonts w:hint="eastAsia" w:ascii="宋体" w:hAnsi="宋体" w:cs="宋体"/>
                <w:color w:val="000000"/>
                <w:kern w:val="0"/>
                <w:szCs w:val="21"/>
                <w:lang w:bidi="zh-CN"/>
              </w:rPr>
              <w:t>1</w:t>
            </w:r>
          </w:p>
        </w:tc>
      </w:tr>
      <w:tr w14:paraId="2DCEF4C4">
        <w:tblPrEx>
          <w:tblCellMar>
            <w:top w:w="13" w:type="dxa"/>
            <w:left w:w="57" w:type="dxa"/>
            <w:bottom w:w="0" w:type="dxa"/>
            <w:right w:w="57" w:type="dxa"/>
          </w:tblCellMar>
        </w:tblPrEx>
        <w:trPr>
          <w:trHeight w:val="454" w:hRule="atLeast"/>
        </w:trPr>
        <w:tc>
          <w:tcPr>
            <w:tcW w:w="8352" w:type="dxa"/>
            <w:gridSpan w:val="7"/>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C3807B4">
            <w:pPr>
              <w:rPr>
                <w:rFonts w:ascii="宋体" w:hAnsi="宋体"/>
                <w:b/>
                <w:bCs/>
                <w:color w:val="000000"/>
                <w:szCs w:val="21"/>
              </w:rPr>
            </w:pPr>
            <w:r>
              <w:rPr>
                <w:rFonts w:hint="eastAsia" w:ascii="宋体" w:hAnsi="宋体"/>
                <w:b/>
                <w:szCs w:val="21"/>
              </w:rPr>
              <w:t>▲</w:t>
            </w:r>
            <w:r>
              <w:rPr>
                <w:rFonts w:hint="eastAsia" w:ascii="宋体" w:hAnsi="宋体"/>
                <w:b/>
                <w:bCs/>
                <w:color w:val="000000"/>
                <w:szCs w:val="21"/>
              </w:rPr>
              <w:t>二、商务要求</w:t>
            </w:r>
          </w:p>
        </w:tc>
      </w:tr>
      <w:tr w14:paraId="590FEC4B">
        <w:tblPrEx>
          <w:tblCellMar>
            <w:top w:w="13" w:type="dxa"/>
            <w:left w:w="57" w:type="dxa"/>
            <w:bottom w:w="0" w:type="dxa"/>
            <w:right w:w="57" w:type="dxa"/>
          </w:tblCellMar>
        </w:tblPrEx>
        <w:trPr>
          <w:trHeight w:val="20"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6385515">
            <w:pPr>
              <w:jc w:val="center"/>
              <w:rPr>
                <w:rFonts w:hint="eastAsia" w:ascii="宋体" w:hAnsi="宋体" w:cs="宋体"/>
                <w:b/>
                <w:bCs/>
                <w:szCs w:val="21"/>
              </w:rPr>
            </w:pPr>
            <w:r>
              <w:rPr>
                <w:rFonts w:hint="eastAsia" w:ascii="宋体" w:hAnsi="宋体" w:cs="宋体"/>
                <w:b/>
                <w:bCs/>
                <w:szCs w:val="21"/>
              </w:rPr>
              <w:t>质保期</w:t>
            </w:r>
          </w:p>
        </w:tc>
        <w:tc>
          <w:tcPr>
            <w:tcW w:w="7093"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4A9D9089">
            <w:pPr>
              <w:rPr>
                <w:rFonts w:ascii="宋体" w:hAnsi="宋体" w:cs="宋体"/>
                <w:szCs w:val="21"/>
                <w:highlight w:val="none"/>
              </w:rPr>
            </w:pPr>
            <w:r>
              <w:rPr>
                <w:rFonts w:ascii="宋体" w:hAnsi="宋体" w:cs="宋体"/>
                <w:b/>
                <w:szCs w:val="21"/>
                <w:highlight w:val="none"/>
              </w:rPr>
              <w:t>1.</w:t>
            </w:r>
            <w:r>
              <w:rPr>
                <w:rFonts w:hint="eastAsia" w:ascii="宋体" w:hAnsi="宋体" w:cs="宋体"/>
                <w:b/>
                <w:szCs w:val="21"/>
                <w:highlight w:val="none"/>
              </w:rPr>
              <w:t>质保期</w:t>
            </w:r>
            <w:r>
              <w:rPr>
                <w:rFonts w:hint="eastAsia" w:ascii="宋体" w:hAnsi="宋体" w:cs="宋体"/>
                <w:b/>
                <w:szCs w:val="21"/>
                <w:highlight w:val="none"/>
                <w:u w:val="single"/>
                <w:lang w:val="en-US" w:eastAsia="zh-CN"/>
              </w:rPr>
              <w:t xml:space="preserve"> </w:t>
            </w:r>
            <w:r>
              <w:rPr>
                <w:rFonts w:hint="eastAsia" w:ascii="宋体" w:hAnsi="宋体" w:cs="宋体"/>
                <w:b/>
                <w:szCs w:val="21"/>
                <w:highlight w:val="none"/>
                <w:u w:val="single"/>
              </w:rPr>
              <w:t xml:space="preserve">1 </w:t>
            </w:r>
            <w:r>
              <w:rPr>
                <w:rFonts w:hint="eastAsia" w:ascii="宋体" w:hAnsi="宋体" w:cs="宋体"/>
                <w:b/>
                <w:szCs w:val="21"/>
                <w:highlight w:val="none"/>
              </w:rPr>
              <w:t>年。</w:t>
            </w:r>
            <w:r>
              <w:rPr>
                <w:rFonts w:hint="eastAsia" w:ascii="宋体" w:hAnsi="宋体" w:cs="宋体"/>
                <w:szCs w:val="21"/>
                <w:highlight w:val="none"/>
              </w:rPr>
              <w:t>（分项货物服务要求中有特别注明的，按特别注明的执行）</w:t>
            </w:r>
          </w:p>
          <w:p w14:paraId="3F7A4CB0">
            <w:pPr>
              <w:rPr>
                <w:rFonts w:hint="eastAsia" w:ascii="宋体" w:hAnsi="宋体" w:cs="宋体"/>
                <w:szCs w:val="21"/>
                <w:highlight w:val="none"/>
              </w:rPr>
            </w:pPr>
            <w:r>
              <w:rPr>
                <w:rFonts w:hint="eastAsia" w:ascii="宋体" w:hAnsi="宋体" w:cs="宋体"/>
                <w:szCs w:val="21"/>
                <w:highlight w:val="none"/>
              </w:rPr>
              <w:t>2.所有货物服务</w:t>
            </w:r>
            <w:r>
              <w:rPr>
                <w:rFonts w:ascii="宋体" w:hAnsi="宋体" w:cs="宋体"/>
                <w:szCs w:val="21"/>
                <w:highlight w:val="none"/>
              </w:rPr>
              <w:t>按</w:t>
            </w:r>
            <w:r>
              <w:rPr>
                <w:rFonts w:hint="eastAsia" w:ascii="宋体" w:hAnsi="宋体" w:cs="宋体"/>
                <w:szCs w:val="21"/>
                <w:highlight w:val="none"/>
              </w:rPr>
              <w:t>国家</w:t>
            </w:r>
            <w:r>
              <w:rPr>
                <w:rFonts w:ascii="宋体" w:hAnsi="宋体" w:cs="宋体"/>
                <w:szCs w:val="21"/>
                <w:highlight w:val="none"/>
              </w:rPr>
              <w:t>“三包”</w:t>
            </w:r>
            <w:r>
              <w:rPr>
                <w:rFonts w:hint="eastAsia" w:ascii="宋体" w:hAnsi="宋体" w:cs="宋体"/>
                <w:szCs w:val="21"/>
                <w:highlight w:val="none"/>
              </w:rPr>
              <w:t>有关</w:t>
            </w:r>
            <w:r>
              <w:rPr>
                <w:rFonts w:ascii="宋体" w:hAnsi="宋体" w:cs="宋体"/>
                <w:szCs w:val="21"/>
                <w:highlight w:val="none"/>
              </w:rPr>
              <w:t>规定执行“三包”</w:t>
            </w:r>
            <w:r>
              <w:rPr>
                <w:rFonts w:hint="eastAsia" w:ascii="宋体" w:hAnsi="宋体" w:cs="宋体"/>
                <w:szCs w:val="21"/>
                <w:highlight w:val="none"/>
              </w:rPr>
              <w:t>。质保期自交付验收合格之日起计算，质保期内提供上门维修；质保期结束后，提供终身维护，并优惠提供相关零配件。</w:t>
            </w:r>
          </w:p>
        </w:tc>
      </w:tr>
      <w:tr w14:paraId="0A4068C3">
        <w:tblPrEx>
          <w:tblCellMar>
            <w:top w:w="13" w:type="dxa"/>
            <w:left w:w="57" w:type="dxa"/>
            <w:bottom w:w="0" w:type="dxa"/>
            <w:right w:w="57" w:type="dxa"/>
          </w:tblCellMar>
        </w:tblPrEx>
        <w:trPr>
          <w:trHeight w:val="20"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95975F4">
            <w:pPr>
              <w:jc w:val="center"/>
              <w:rPr>
                <w:rFonts w:hint="eastAsia" w:ascii="宋体" w:hAnsi="宋体" w:cs="宋体"/>
                <w:b/>
                <w:bCs/>
                <w:szCs w:val="21"/>
              </w:rPr>
            </w:pPr>
            <w:r>
              <w:rPr>
                <w:rFonts w:hint="eastAsia" w:ascii="宋体" w:hAnsi="宋体" w:cs="宋体"/>
                <w:b/>
                <w:bCs/>
                <w:szCs w:val="21"/>
              </w:rPr>
              <w:t>产品及售后服务要求</w:t>
            </w:r>
          </w:p>
        </w:tc>
        <w:tc>
          <w:tcPr>
            <w:tcW w:w="7093"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24B73A4A">
            <w:pPr>
              <w:rPr>
                <w:rFonts w:ascii="宋体" w:hAnsi="宋体" w:cs="宋体"/>
                <w:szCs w:val="21"/>
                <w:highlight w:val="none"/>
              </w:rPr>
            </w:pPr>
            <w:r>
              <w:rPr>
                <w:rFonts w:ascii="宋体" w:hAnsi="宋体" w:cs="宋体"/>
                <w:szCs w:val="21"/>
                <w:highlight w:val="none"/>
              </w:rPr>
              <w:t>1.</w:t>
            </w:r>
            <w:r>
              <w:rPr>
                <w:rFonts w:hint="eastAsia" w:ascii="宋体" w:hAnsi="宋体" w:cs="宋体"/>
                <w:szCs w:val="21"/>
                <w:highlight w:val="none"/>
              </w:rPr>
              <w:t>成交人</w:t>
            </w:r>
            <w:r>
              <w:rPr>
                <w:rFonts w:ascii="宋体" w:hAnsi="宋体" w:cs="宋体"/>
                <w:szCs w:val="21"/>
                <w:highlight w:val="none"/>
              </w:rPr>
              <w:t>交付的所有</w:t>
            </w:r>
            <w:r>
              <w:rPr>
                <w:rFonts w:ascii="宋体" w:hAnsi="宋体" w:cs="宋体"/>
                <w:b/>
                <w:szCs w:val="21"/>
                <w:highlight w:val="none"/>
              </w:rPr>
              <w:t>设备</w:t>
            </w:r>
            <w:r>
              <w:rPr>
                <w:rFonts w:ascii="宋体" w:hAnsi="宋体" w:cs="宋体"/>
                <w:szCs w:val="21"/>
                <w:highlight w:val="none"/>
              </w:rPr>
              <w:t>必须是签订合同之日</w:t>
            </w:r>
            <w:r>
              <w:rPr>
                <w:rFonts w:hint="eastAsia" w:ascii="宋体" w:hAnsi="宋体" w:cs="宋体"/>
                <w:szCs w:val="21"/>
                <w:highlight w:val="none"/>
                <w:lang w:eastAsia="zh-CN"/>
              </w:rPr>
              <w:t>近</w:t>
            </w:r>
            <w:r>
              <w:rPr>
                <w:rFonts w:hint="eastAsia" w:ascii="宋体" w:hAnsi="宋体" w:cs="宋体"/>
                <w:b/>
                <w:szCs w:val="21"/>
                <w:highlight w:val="none"/>
                <w:u w:val="single"/>
              </w:rPr>
              <w:t xml:space="preserve">  1  </w:t>
            </w:r>
            <w:r>
              <w:rPr>
                <w:rFonts w:ascii="宋体" w:hAnsi="宋体" w:cs="宋体"/>
                <w:b/>
                <w:szCs w:val="21"/>
                <w:highlight w:val="none"/>
              </w:rPr>
              <w:t>年</w:t>
            </w:r>
            <w:r>
              <w:rPr>
                <w:rFonts w:ascii="宋体" w:hAnsi="宋体" w:cs="宋体"/>
                <w:szCs w:val="21"/>
                <w:highlight w:val="none"/>
              </w:rPr>
              <w:t>内生产的产品。</w:t>
            </w:r>
          </w:p>
          <w:p w14:paraId="5EA6CF9D">
            <w:pPr>
              <w:rPr>
                <w:rFonts w:ascii="宋体" w:hAnsi="宋体" w:cs="宋体"/>
                <w:b/>
                <w:szCs w:val="21"/>
                <w:highlight w:val="none"/>
              </w:rPr>
            </w:pPr>
            <w:r>
              <w:rPr>
                <w:rFonts w:hint="eastAsia" w:ascii="宋体" w:hAnsi="宋体" w:cs="宋体"/>
                <w:szCs w:val="21"/>
                <w:highlight w:val="none"/>
              </w:rPr>
              <w:t>2</w:t>
            </w:r>
            <w:r>
              <w:rPr>
                <w:rFonts w:ascii="宋体" w:hAnsi="宋体" w:cs="宋体"/>
                <w:szCs w:val="21"/>
                <w:highlight w:val="none"/>
              </w:rPr>
              <w:t>.</w:t>
            </w:r>
            <w:r>
              <w:rPr>
                <w:rFonts w:hint="eastAsia" w:ascii="宋体" w:hAnsi="宋体" w:cs="宋体"/>
                <w:szCs w:val="21"/>
                <w:highlight w:val="none"/>
              </w:rPr>
              <w:t>送货至采购人指定地点，协助进行安装场地设计，完成安装和调试。所有安装应符合国家、行业相关标准及规范。</w:t>
            </w:r>
            <w:r>
              <w:rPr>
                <w:rFonts w:hint="eastAsia" w:ascii="宋体" w:hAnsi="宋体" w:cs="宋体"/>
                <w:b/>
                <w:szCs w:val="21"/>
                <w:highlight w:val="none"/>
              </w:rPr>
              <w:t>（所有货物仅接受现场交付，不接受邮递）</w:t>
            </w:r>
          </w:p>
          <w:p w14:paraId="78185AC9">
            <w:pPr>
              <w:rPr>
                <w:rFonts w:ascii="宋体" w:hAnsi="宋体" w:cs="宋体"/>
                <w:szCs w:val="21"/>
                <w:highlight w:val="none"/>
              </w:rPr>
            </w:pPr>
            <w:r>
              <w:rPr>
                <w:rFonts w:ascii="宋体" w:hAnsi="宋体" w:cs="宋体"/>
                <w:szCs w:val="21"/>
                <w:highlight w:val="none"/>
              </w:rPr>
              <w:t>3.为采购</w:t>
            </w:r>
            <w:r>
              <w:rPr>
                <w:rFonts w:hint="eastAsia" w:ascii="宋体" w:hAnsi="宋体" w:cs="宋体"/>
                <w:szCs w:val="21"/>
                <w:highlight w:val="none"/>
              </w:rPr>
              <w:t>人</w:t>
            </w:r>
            <w:r>
              <w:rPr>
                <w:rFonts w:ascii="宋体" w:hAnsi="宋体" w:cs="宋体"/>
                <w:szCs w:val="21"/>
                <w:highlight w:val="none"/>
              </w:rPr>
              <w:t>提供</w:t>
            </w:r>
            <w:r>
              <w:rPr>
                <w:rFonts w:hint="eastAsia" w:ascii="宋体" w:hAnsi="宋体" w:cs="宋体"/>
                <w:szCs w:val="21"/>
                <w:highlight w:val="none"/>
              </w:rPr>
              <w:t>产品</w:t>
            </w:r>
            <w:r>
              <w:rPr>
                <w:rFonts w:ascii="宋体" w:hAnsi="宋体" w:cs="宋体"/>
                <w:szCs w:val="21"/>
                <w:highlight w:val="none"/>
              </w:rPr>
              <w:t>操作</w:t>
            </w:r>
            <w:r>
              <w:rPr>
                <w:rFonts w:hint="eastAsia" w:ascii="宋体" w:hAnsi="宋体" w:cs="宋体"/>
                <w:szCs w:val="21"/>
                <w:highlight w:val="none"/>
              </w:rPr>
              <w:t>、维修、日常养护等方面的</w:t>
            </w:r>
            <w:r>
              <w:rPr>
                <w:rFonts w:ascii="宋体" w:hAnsi="宋体" w:cs="宋体"/>
                <w:szCs w:val="21"/>
                <w:highlight w:val="none"/>
              </w:rPr>
              <w:t>培训，确保</w:t>
            </w:r>
            <w:r>
              <w:rPr>
                <w:rFonts w:hint="eastAsia" w:ascii="宋体" w:hAnsi="宋体" w:cs="宋体"/>
                <w:szCs w:val="21"/>
                <w:highlight w:val="none"/>
              </w:rPr>
              <w:t>采购方使用人员</w:t>
            </w:r>
            <w:r>
              <w:rPr>
                <w:rFonts w:ascii="宋体" w:hAnsi="宋体" w:cs="宋体"/>
                <w:szCs w:val="21"/>
                <w:highlight w:val="none"/>
              </w:rPr>
              <w:t>能独立操作使用</w:t>
            </w:r>
            <w:r>
              <w:rPr>
                <w:rFonts w:hint="eastAsia" w:ascii="宋体" w:hAnsi="宋体" w:cs="宋体"/>
                <w:szCs w:val="21"/>
                <w:highlight w:val="none"/>
              </w:rPr>
              <w:t>，</w:t>
            </w:r>
            <w:r>
              <w:rPr>
                <w:rFonts w:ascii="宋体" w:hAnsi="宋体" w:cs="宋体"/>
                <w:szCs w:val="21"/>
                <w:highlight w:val="none"/>
              </w:rPr>
              <w:t>培训人数</w:t>
            </w:r>
            <w:r>
              <w:rPr>
                <w:rFonts w:hint="eastAsia" w:ascii="宋体" w:hAnsi="宋体" w:cs="宋体"/>
                <w:szCs w:val="21"/>
                <w:highlight w:val="none"/>
              </w:rPr>
              <w:t>、时间、地点等</w:t>
            </w:r>
            <w:r>
              <w:rPr>
                <w:rFonts w:ascii="宋体" w:hAnsi="宋体" w:cs="宋体"/>
                <w:szCs w:val="21"/>
                <w:highlight w:val="none"/>
              </w:rPr>
              <w:t>由采购</w:t>
            </w:r>
            <w:r>
              <w:rPr>
                <w:rFonts w:hint="eastAsia" w:ascii="宋体" w:hAnsi="宋体" w:cs="宋体"/>
                <w:szCs w:val="21"/>
                <w:highlight w:val="none"/>
              </w:rPr>
              <w:t>人指定</w:t>
            </w:r>
            <w:r>
              <w:rPr>
                <w:rFonts w:ascii="宋体" w:hAnsi="宋体" w:cs="宋体"/>
                <w:szCs w:val="21"/>
                <w:highlight w:val="none"/>
              </w:rPr>
              <w:t>。</w:t>
            </w:r>
          </w:p>
          <w:p w14:paraId="0141D358">
            <w:pPr>
              <w:spacing w:line="380" w:lineRule="exact"/>
              <w:rPr>
                <w:rFonts w:ascii="宋体" w:hAnsi="宋体" w:cs="宋体"/>
                <w:szCs w:val="21"/>
                <w:highlight w:val="none"/>
              </w:rPr>
            </w:pPr>
            <w:r>
              <w:rPr>
                <w:rFonts w:ascii="宋体" w:hAnsi="宋体" w:cs="宋体"/>
                <w:szCs w:val="21"/>
                <w:highlight w:val="none"/>
              </w:rPr>
              <w:t>4.故障响应时间：</w:t>
            </w:r>
            <w:r>
              <w:rPr>
                <w:rFonts w:hint="eastAsia" w:ascii="Arial" w:hAnsi="Arial" w:cs="Arial"/>
                <w:szCs w:val="21"/>
                <w:highlight w:val="none"/>
              </w:rPr>
              <w:t>乙方在接到甲方通知后在按</w:t>
            </w:r>
            <w:r>
              <w:rPr>
                <w:rFonts w:hint="eastAsia" w:ascii="Arial" w:hAnsi="Arial" w:cs="Arial"/>
                <w:szCs w:val="21"/>
                <w:highlight w:val="none"/>
                <w:u w:val="single"/>
                <w:lang w:val="en-US" w:eastAsia="zh-CN"/>
              </w:rPr>
              <w:t xml:space="preserve"> </w:t>
            </w:r>
            <w:r>
              <w:rPr>
                <w:rFonts w:hint="eastAsia" w:ascii="Arial" w:hAnsi="Arial" w:cs="Arial"/>
                <w:szCs w:val="21"/>
                <w:highlight w:val="none"/>
                <w:u w:val="single"/>
              </w:rPr>
              <w:t>4</w:t>
            </w:r>
            <w:r>
              <w:rPr>
                <w:rFonts w:hint="eastAsia" w:ascii="Arial" w:hAnsi="Arial" w:cs="Arial"/>
                <w:szCs w:val="21"/>
                <w:highlight w:val="none"/>
                <w:u w:val="single"/>
                <w:lang w:val="en-US" w:eastAsia="zh-CN"/>
              </w:rPr>
              <w:t xml:space="preserve"> </w:t>
            </w:r>
            <w:r>
              <w:rPr>
                <w:rFonts w:hint="eastAsia" w:ascii="Arial" w:hAnsi="Arial" w:cs="Arial"/>
                <w:szCs w:val="21"/>
                <w:highlight w:val="none"/>
              </w:rPr>
              <w:t>小时内到达现场进行处理，到达现场后</w:t>
            </w:r>
            <w:r>
              <w:rPr>
                <w:rFonts w:hint="eastAsia" w:ascii="Arial" w:hAnsi="Arial" w:cs="Arial"/>
                <w:szCs w:val="21"/>
                <w:highlight w:val="none"/>
                <w:u w:val="single"/>
                <w:lang w:val="en-US" w:eastAsia="zh-CN"/>
              </w:rPr>
              <w:t xml:space="preserve"> </w:t>
            </w:r>
            <w:r>
              <w:rPr>
                <w:rFonts w:hint="eastAsia" w:ascii="Arial" w:hAnsi="Arial" w:cs="Arial"/>
                <w:szCs w:val="21"/>
                <w:highlight w:val="none"/>
                <w:u w:val="single"/>
              </w:rPr>
              <w:t>4</w:t>
            </w:r>
            <w:r>
              <w:rPr>
                <w:rFonts w:hint="eastAsia" w:ascii="Arial" w:hAnsi="Arial" w:cs="Arial"/>
                <w:szCs w:val="21"/>
                <w:highlight w:val="none"/>
                <w:u w:val="single"/>
                <w:lang w:val="en-US" w:eastAsia="zh-CN"/>
              </w:rPr>
              <w:t xml:space="preserve"> </w:t>
            </w:r>
            <w:r>
              <w:rPr>
                <w:rFonts w:hint="eastAsia" w:ascii="Arial" w:hAnsi="Arial" w:cs="Arial"/>
                <w:szCs w:val="21"/>
                <w:highlight w:val="none"/>
              </w:rPr>
              <w:t>小时内排除故障，恢复正常使用</w:t>
            </w:r>
            <w:r>
              <w:rPr>
                <w:rFonts w:ascii="宋体" w:hAnsi="宋体" w:cs="宋体"/>
                <w:szCs w:val="21"/>
                <w:highlight w:val="none"/>
              </w:rPr>
              <w:t>。</w:t>
            </w:r>
          </w:p>
          <w:p w14:paraId="51B287EE">
            <w:pPr>
              <w:rPr>
                <w:rFonts w:hint="eastAsia" w:ascii="宋体" w:hAnsi="宋体" w:cs="宋体"/>
                <w:szCs w:val="21"/>
                <w:highlight w:val="none"/>
              </w:rPr>
            </w:pPr>
            <w:r>
              <w:rPr>
                <w:rFonts w:ascii="宋体" w:hAnsi="宋体" w:cs="宋体"/>
                <w:szCs w:val="21"/>
                <w:highlight w:val="none"/>
              </w:rPr>
              <w:t>5.</w:t>
            </w:r>
            <w:r>
              <w:rPr>
                <w:rFonts w:hint="eastAsia" w:ascii="宋体" w:hAnsi="宋体" w:cs="宋体"/>
                <w:szCs w:val="21"/>
                <w:highlight w:val="none"/>
              </w:rPr>
              <w:t>成交人须遵守校园出入规定，在供货、安装过程中确保相关人员安全。</w:t>
            </w:r>
            <w:r>
              <w:rPr>
                <w:rFonts w:ascii="宋体" w:hAnsi="宋体" w:cs="宋体"/>
                <w:szCs w:val="21"/>
                <w:highlight w:val="none"/>
              </w:rPr>
              <w:t>供货</w:t>
            </w:r>
            <w:r>
              <w:rPr>
                <w:rFonts w:hint="eastAsia" w:ascii="宋体" w:hAnsi="宋体" w:cs="宋体"/>
                <w:szCs w:val="21"/>
                <w:highlight w:val="none"/>
              </w:rPr>
              <w:t>、</w:t>
            </w:r>
            <w:r>
              <w:rPr>
                <w:rFonts w:ascii="宋体" w:hAnsi="宋体" w:cs="宋体"/>
                <w:szCs w:val="21"/>
                <w:highlight w:val="none"/>
              </w:rPr>
              <w:t>安装过程中产生的残留物或垃圾，</w:t>
            </w:r>
            <w:r>
              <w:rPr>
                <w:rFonts w:hint="eastAsia" w:ascii="宋体" w:hAnsi="宋体" w:cs="宋体"/>
                <w:szCs w:val="21"/>
                <w:highlight w:val="none"/>
              </w:rPr>
              <w:t>成交人需</w:t>
            </w:r>
            <w:r>
              <w:rPr>
                <w:rFonts w:ascii="宋体" w:hAnsi="宋体" w:cs="宋体"/>
                <w:szCs w:val="21"/>
                <w:highlight w:val="none"/>
              </w:rPr>
              <w:t>自行清理至校外。</w:t>
            </w:r>
          </w:p>
        </w:tc>
      </w:tr>
      <w:tr w14:paraId="627C8BD3">
        <w:tblPrEx>
          <w:tblCellMar>
            <w:top w:w="13" w:type="dxa"/>
            <w:left w:w="57" w:type="dxa"/>
            <w:bottom w:w="0" w:type="dxa"/>
            <w:right w:w="57" w:type="dxa"/>
          </w:tblCellMar>
        </w:tblPrEx>
        <w:trPr>
          <w:trHeight w:val="454"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194DE79">
            <w:pPr>
              <w:jc w:val="center"/>
              <w:rPr>
                <w:rFonts w:hint="eastAsia" w:ascii="宋体" w:hAnsi="宋体" w:cs="宋体"/>
                <w:b/>
                <w:bCs/>
                <w:szCs w:val="21"/>
              </w:rPr>
            </w:pPr>
            <w:r>
              <w:rPr>
                <w:rFonts w:hint="eastAsia" w:ascii="宋体" w:hAnsi="宋体" w:cs="宋体"/>
                <w:b/>
                <w:bCs/>
                <w:szCs w:val="21"/>
              </w:rPr>
              <w:t>交付时间、交付地点</w:t>
            </w:r>
          </w:p>
        </w:tc>
        <w:tc>
          <w:tcPr>
            <w:tcW w:w="7093"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71B8C3B8">
            <w:pPr>
              <w:rPr>
                <w:rFonts w:ascii="宋体" w:hAnsi="宋体" w:cs="宋体"/>
                <w:spacing w:val="-2"/>
                <w:szCs w:val="21"/>
                <w:highlight w:val="none"/>
              </w:rPr>
            </w:pPr>
            <w:r>
              <w:rPr>
                <w:rFonts w:ascii="宋体" w:hAnsi="宋体" w:cs="宋体"/>
                <w:spacing w:val="-2"/>
                <w:szCs w:val="21"/>
                <w:highlight w:val="none"/>
              </w:rPr>
              <w:t>1.交</w:t>
            </w:r>
            <w:r>
              <w:rPr>
                <w:rFonts w:hint="eastAsia" w:ascii="宋体" w:hAnsi="宋体" w:cs="宋体"/>
                <w:spacing w:val="-2"/>
                <w:szCs w:val="21"/>
                <w:highlight w:val="none"/>
              </w:rPr>
              <w:t>付</w:t>
            </w:r>
            <w:r>
              <w:rPr>
                <w:rFonts w:ascii="宋体" w:hAnsi="宋体" w:cs="宋体"/>
                <w:spacing w:val="-2"/>
                <w:szCs w:val="21"/>
                <w:highlight w:val="none"/>
              </w:rPr>
              <w:t>时间：自签订合同之日起</w:t>
            </w:r>
            <w:r>
              <w:rPr>
                <w:rFonts w:hint="eastAsia" w:ascii="宋体" w:hAnsi="宋体" w:cs="宋体"/>
                <w:spacing w:val="-2"/>
                <w:szCs w:val="21"/>
                <w:highlight w:val="none"/>
                <w:u w:val="single"/>
              </w:rPr>
              <w:t xml:space="preserve"> </w:t>
            </w:r>
            <w:r>
              <w:rPr>
                <w:rFonts w:hint="eastAsia" w:ascii="宋体" w:hAnsi="宋体" w:cs="宋体"/>
                <w:spacing w:val="-2"/>
                <w:szCs w:val="21"/>
                <w:highlight w:val="none"/>
                <w:u w:val="single"/>
                <w:lang w:val="en-US" w:eastAsia="zh-CN"/>
              </w:rPr>
              <w:t xml:space="preserve"> </w:t>
            </w:r>
            <w:r>
              <w:rPr>
                <w:rFonts w:hint="eastAsia" w:ascii="宋体" w:hAnsi="宋体" w:cs="宋体"/>
                <w:spacing w:val="-2"/>
                <w:szCs w:val="21"/>
                <w:highlight w:val="none"/>
                <w:u w:val="single"/>
              </w:rPr>
              <w:t xml:space="preserve">15  </w:t>
            </w:r>
            <w:r>
              <w:rPr>
                <w:rFonts w:hint="eastAsia" w:ascii="宋体" w:hAnsi="宋体" w:cs="宋体"/>
                <w:spacing w:val="-2"/>
                <w:szCs w:val="21"/>
                <w:highlight w:val="none"/>
              </w:rPr>
              <w:t>日内全部交付完成并验收合格。</w:t>
            </w:r>
          </w:p>
          <w:p w14:paraId="5967DC7C">
            <w:pPr>
              <w:rPr>
                <w:rFonts w:hint="eastAsia" w:ascii="宋体" w:hAnsi="宋体" w:cs="宋体"/>
                <w:szCs w:val="21"/>
                <w:highlight w:val="none"/>
              </w:rPr>
            </w:pPr>
            <w:r>
              <w:rPr>
                <w:rFonts w:ascii="宋体" w:hAnsi="宋体" w:cs="宋体"/>
                <w:szCs w:val="21"/>
                <w:highlight w:val="none"/>
              </w:rPr>
              <w:t>2.交</w:t>
            </w:r>
            <w:r>
              <w:rPr>
                <w:rFonts w:hint="eastAsia" w:ascii="宋体" w:hAnsi="宋体" w:cs="宋体"/>
                <w:szCs w:val="21"/>
                <w:highlight w:val="none"/>
              </w:rPr>
              <w:t>付</w:t>
            </w:r>
            <w:r>
              <w:rPr>
                <w:rFonts w:ascii="宋体" w:hAnsi="宋体" w:cs="宋体"/>
                <w:szCs w:val="21"/>
                <w:highlight w:val="none"/>
              </w:rPr>
              <w:t>地点：广西</w:t>
            </w:r>
            <w:r>
              <w:rPr>
                <w:rFonts w:hint="eastAsia" w:ascii="宋体" w:hAnsi="宋体" w:cs="宋体"/>
                <w:szCs w:val="21"/>
                <w:highlight w:val="none"/>
              </w:rPr>
              <w:t>中医药大学</w:t>
            </w:r>
            <w:r>
              <w:rPr>
                <w:rFonts w:ascii="宋体" w:hAnsi="宋体" w:cs="宋体"/>
                <w:szCs w:val="21"/>
                <w:highlight w:val="none"/>
              </w:rPr>
              <w:t>。</w:t>
            </w:r>
          </w:p>
        </w:tc>
      </w:tr>
      <w:tr w14:paraId="5D22DE6F">
        <w:tblPrEx>
          <w:tblCellMar>
            <w:top w:w="13" w:type="dxa"/>
            <w:left w:w="57" w:type="dxa"/>
            <w:bottom w:w="0" w:type="dxa"/>
            <w:right w:w="57" w:type="dxa"/>
          </w:tblCellMar>
        </w:tblPrEx>
        <w:trPr>
          <w:trHeight w:val="20"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8B54E56">
            <w:pPr>
              <w:jc w:val="center"/>
              <w:rPr>
                <w:rFonts w:hint="eastAsia" w:ascii="宋体" w:hAnsi="宋体" w:cs="宋体"/>
                <w:b/>
                <w:bCs/>
                <w:szCs w:val="21"/>
              </w:rPr>
            </w:pPr>
            <w:r>
              <w:rPr>
                <w:rFonts w:hint="eastAsia" w:ascii="宋体" w:hAnsi="宋体" w:cs="宋体"/>
                <w:b/>
                <w:bCs/>
                <w:szCs w:val="21"/>
              </w:rPr>
              <w:t>付款条件</w:t>
            </w:r>
          </w:p>
        </w:tc>
        <w:tc>
          <w:tcPr>
            <w:tcW w:w="7093"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2DBDB162">
            <w:pPr>
              <w:rPr>
                <w:rFonts w:ascii="宋体" w:hAnsi="宋体" w:cs="宋体"/>
                <w:szCs w:val="21"/>
                <w:highlight w:val="none"/>
              </w:rPr>
            </w:pPr>
            <w:r>
              <w:rPr>
                <w:rFonts w:hint="eastAsia" w:ascii="Arial" w:hAnsi="Arial" w:cs="Arial"/>
                <w:szCs w:val="21"/>
                <w:highlight w:val="none"/>
              </w:rPr>
              <w:t>1、一次性支付：本合同项下的全部货物经最终验收合格后 15 个工作日内，采购人凭乙方开具的全额发票向乙方支付全部合同价款。若乙方未按时开具发票，甲方有权延迟付款（无息）。甲方按约将货款付至合同约定的银行账户</w:t>
            </w:r>
            <w:r>
              <w:rPr>
                <w:rFonts w:ascii="Arial" w:hAnsi="Arial" w:cs="Arial"/>
                <w:szCs w:val="21"/>
                <w:highlight w:val="none"/>
              </w:rPr>
              <w:t>(</w:t>
            </w:r>
            <w:r>
              <w:rPr>
                <w:rFonts w:hint="eastAsia" w:ascii="Arial" w:hAnsi="Arial" w:cs="Arial"/>
                <w:szCs w:val="21"/>
                <w:highlight w:val="none"/>
              </w:rPr>
              <w:t>该账户的真实性及合法性由乙方负责</w:t>
            </w:r>
            <w:r>
              <w:rPr>
                <w:rFonts w:ascii="Arial" w:hAnsi="Arial" w:cs="Arial"/>
                <w:szCs w:val="21"/>
                <w:highlight w:val="none"/>
              </w:rPr>
              <w:t>)</w:t>
            </w:r>
            <w:r>
              <w:rPr>
                <w:rFonts w:hint="eastAsia" w:ascii="Arial" w:hAnsi="Arial" w:cs="Arial"/>
                <w:szCs w:val="21"/>
                <w:highlight w:val="none"/>
              </w:rPr>
              <w:t>；如因乙方提供的账户信息错误导致无法付款、迟延付款等情形的不视为甲方违约；乙方变更收款银行账户的，应在变更之前书面通知甲方，否则应承担甲方无法付款、迟延付款或付款错误等全部责任。</w:t>
            </w:r>
          </w:p>
          <w:p w14:paraId="2E543793">
            <w:pPr>
              <w:rPr>
                <w:rFonts w:hint="eastAsia" w:ascii="宋体" w:hAnsi="宋体" w:cs="宋体"/>
                <w:szCs w:val="21"/>
                <w:highlight w:val="none"/>
                <w:lang w:eastAsia="en-US"/>
              </w:rPr>
            </w:pPr>
            <w:r>
              <w:rPr>
                <w:rFonts w:hint="eastAsia" w:ascii="宋体" w:hAnsi="宋体" w:cs="宋体"/>
                <w:szCs w:val="21"/>
                <w:highlight w:val="none"/>
                <w:lang w:eastAsia="en-US"/>
              </w:rPr>
              <w:t>2.本项目收取履约保证金：</w:t>
            </w:r>
            <w:r>
              <w:rPr>
                <w:rFonts w:hint="eastAsia" w:ascii="宋体" w:hAnsi="宋体" w:cs="宋体"/>
                <w:szCs w:val="21"/>
                <w:highlight w:val="none"/>
              </w:rPr>
              <w:t>☑</w:t>
            </w:r>
            <w:r>
              <w:rPr>
                <w:rFonts w:hint="eastAsia" w:ascii="宋体" w:hAnsi="宋体" w:cs="宋体"/>
                <w:szCs w:val="21"/>
                <w:highlight w:val="none"/>
                <w:lang w:eastAsia="en-US"/>
              </w:rPr>
              <w:t>无    □有，人民币</w:t>
            </w:r>
            <w:r>
              <w:rPr>
                <w:rFonts w:hint="eastAsia" w:ascii="宋体" w:hAnsi="宋体" w:cs="宋体"/>
                <w:szCs w:val="21"/>
                <w:highlight w:val="none"/>
                <w:u w:val="single"/>
                <w:lang w:eastAsia="en-US"/>
              </w:rPr>
              <w:t xml:space="preserve">        </w:t>
            </w:r>
            <w:r>
              <w:rPr>
                <w:rFonts w:hint="eastAsia" w:ascii="宋体" w:hAnsi="宋体" w:cs="宋体"/>
                <w:szCs w:val="21"/>
                <w:highlight w:val="none"/>
                <w:lang w:eastAsia="en-US"/>
              </w:rPr>
              <w:t>元。</w:t>
            </w:r>
          </w:p>
          <w:p w14:paraId="4DF82F24">
            <w:pPr>
              <w:jc w:val="left"/>
              <w:rPr>
                <w:rFonts w:hint="eastAsia" w:ascii="宋体" w:hAnsi="宋体" w:cs="宋体"/>
                <w:szCs w:val="21"/>
                <w:highlight w:val="none"/>
              </w:rPr>
            </w:pPr>
            <w:r>
              <w:rPr>
                <w:rFonts w:hint="eastAsia" w:ascii="宋体" w:hAnsi="宋体" w:cs="宋体"/>
                <w:bCs/>
                <w:szCs w:val="21"/>
                <w:highlight w:val="none"/>
              </w:rPr>
              <w:t>3</w:t>
            </w:r>
            <w:r>
              <w:rPr>
                <w:rFonts w:ascii="宋体" w:hAnsi="宋体" w:cs="宋体"/>
                <w:bCs/>
                <w:szCs w:val="21"/>
                <w:highlight w:val="none"/>
              </w:rPr>
              <w:t>.</w:t>
            </w:r>
            <w:r>
              <w:rPr>
                <w:rFonts w:hint="eastAsia" w:ascii="宋体" w:hAnsi="宋体" w:cs="宋体"/>
                <w:bCs/>
                <w:szCs w:val="21"/>
                <w:highlight w:val="none"/>
              </w:rPr>
              <w:t>项目收取履约保证金的，成交人须在合同签订前向采购人账户转付成交金额</w:t>
            </w:r>
            <w:r>
              <w:rPr>
                <w:rFonts w:ascii="宋体" w:hAnsi="宋体" w:cs="宋体"/>
                <w:bCs/>
                <w:szCs w:val="21"/>
                <w:highlight w:val="none"/>
              </w:rPr>
              <w:t>2%的履约保证金，否则不予签订合同</w:t>
            </w:r>
            <w:r>
              <w:rPr>
                <w:rFonts w:hint="eastAsia" w:ascii="宋体" w:hAnsi="宋体" w:cs="宋体"/>
                <w:bCs/>
                <w:szCs w:val="21"/>
                <w:highlight w:val="none"/>
              </w:rPr>
              <w:t>。</w:t>
            </w:r>
            <w:r>
              <w:rPr>
                <w:rFonts w:ascii="宋体" w:hAnsi="宋体" w:cs="宋体"/>
                <w:bCs/>
                <w:szCs w:val="21"/>
                <w:highlight w:val="none"/>
              </w:rPr>
              <w:t>履约保证金在</w:t>
            </w:r>
            <w:r>
              <w:rPr>
                <w:rFonts w:hint="eastAsia" w:ascii="宋体" w:hAnsi="宋体" w:cs="宋体"/>
                <w:bCs/>
                <w:szCs w:val="21"/>
                <w:highlight w:val="none"/>
              </w:rPr>
              <w:t>采购内容全部交付</w:t>
            </w:r>
            <w:r>
              <w:rPr>
                <w:rFonts w:ascii="宋体" w:hAnsi="宋体" w:cs="宋体"/>
                <w:bCs/>
                <w:szCs w:val="21"/>
                <w:highlight w:val="none"/>
              </w:rPr>
              <w:t>验收</w:t>
            </w:r>
            <w:r>
              <w:rPr>
                <w:rFonts w:hint="eastAsia" w:ascii="宋体" w:hAnsi="宋体" w:cs="宋体"/>
                <w:bCs/>
                <w:szCs w:val="21"/>
                <w:highlight w:val="none"/>
              </w:rPr>
              <w:t>完成</w:t>
            </w:r>
            <w:r>
              <w:rPr>
                <w:rFonts w:ascii="宋体" w:hAnsi="宋体" w:cs="宋体"/>
                <w:bCs/>
                <w:szCs w:val="21"/>
                <w:highlight w:val="none"/>
              </w:rPr>
              <w:t>之后</w:t>
            </w:r>
            <w:r>
              <w:rPr>
                <w:rFonts w:hint="eastAsia" w:ascii="宋体" w:hAnsi="宋体" w:cs="宋体"/>
                <w:bCs/>
                <w:szCs w:val="21"/>
                <w:highlight w:val="none"/>
              </w:rPr>
              <w:t>（或服务期满后）</w:t>
            </w:r>
            <w:r>
              <w:rPr>
                <w:rFonts w:ascii="宋体" w:hAnsi="宋体" w:cs="宋体"/>
                <w:bCs/>
                <w:szCs w:val="21"/>
                <w:highlight w:val="none"/>
              </w:rPr>
              <w:t>无息退付。</w:t>
            </w:r>
          </w:p>
        </w:tc>
      </w:tr>
      <w:tr w14:paraId="4D2ACEFC">
        <w:tblPrEx>
          <w:tblCellMar>
            <w:top w:w="13" w:type="dxa"/>
            <w:left w:w="57" w:type="dxa"/>
            <w:bottom w:w="0" w:type="dxa"/>
            <w:right w:w="57" w:type="dxa"/>
          </w:tblCellMar>
        </w:tblPrEx>
        <w:trPr>
          <w:trHeight w:val="20"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ECD257E">
            <w:pPr>
              <w:jc w:val="center"/>
              <w:rPr>
                <w:rFonts w:hint="eastAsia" w:ascii="宋体" w:hAnsi="宋体" w:cs="宋体"/>
                <w:b/>
                <w:bCs/>
                <w:szCs w:val="21"/>
              </w:rPr>
            </w:pPr>
            <w:r>
              <w:rPr>
                <w:rFonts w:hint="eastAsia" w:ascii="宋体" w:hAnsi="宋体" w:cs="宋体"/>
                <w:b/>
                <w:bCs/>
                <w:szCs w:val="21"/>
              </w:rPr>
              <w:t>报价要求</w:t>
            </w:r>
          </w:p>
        </w:tc>
        <w:tc>
          <w:tcPr>
            <w:tcW w:w="7093"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24A66BB2">
            <w:pPr>
              <w:numPr>
                <w:ilvl w:val="0"/>
                <w:numId w:val="3"/>
              </w:numPr>
              <w:rPr>
                <w:rFonts w:ascii="宋体" w:hAnsi="宋体" w:cs="仿宋"/>
                <w:b/>
                <w:color w:val="000000"/>
                <w:szCs w:val="21"/>
              </w:rPr>
            </w:pPr>
            <w:r>
              <w:rPr>
                <w:rFonts w:hint="eastAsia" w:ascii="宋体" w:hAnsi="宋体" w:cs="仿宋"/>
                <w:b/>
                <w:color w:val="000000"/>
                <w:szCs w:val="21"/>
              </w:rPr>
              <w:t>所有价格均用人民币表示，单位为元，精确到小数点后两位；高于预算金额的报价无效。</w:t>
            </w:r>
          </w:p>
          <w:p w14:paraId="2C6CED24">
            <w:pPr>
              <w:numPr>
                <w:ilvl w:val="0"/>
                <w:numId w:val="3"/>
              </w:numPr>
              <w:rPr>
                <w:rFonts w:ascii="宋体" w:hAnsi="宋体" w:cs="宋体"/>
                <w:b/>
                <w:szCs w:val="21"/>
              </w:rPr>
            </w:pPr>
            <w:r>
              <w:rPr>
                <w:rFonts w:hint="eastAsia" w:ascii="宋体" w:hAnsi="宋体" w:cs="宋体"/>
                <w:b/>
                <w:bCs/>
                <w:szCs w:val="21"/>
              </w:rPr>
              <w:t>报价一经涂改，应在涂改处加盖单位公章，否则其投标作无效标处理。</w:t>
            </w:r>
          </w:p>
          <w:p w14:paraId="74CAAB7E">
            <w:pPr>
              <w:numPr>
                <w:ilvl w:val="0"/>
                <w:numId w:val="3"/>
              </w:numPr>
              <w:rPr>
                <w:rFonts w:hint="eastAsia" w:ascii="宋体" w:hAnsi="宋体" w:cs="宋体"/>
                <w:bCs/>
                <w:szCs w:val="21"/>
              </w:rPr>
            </w:pPr>
            <w:r>
              <w:rPr>
                <w:rFonts w:hint="eastAsia" w:ascii="宋体" w:hAnsi="宋体" w:cs="仿宋"/>
                <w:b/>
                <w:color w:val="000000"/>
                <w:szCs w:val="21"/>
              </w:rPr>
              <w:t>报价包括项目采购标的及实施所需的材料费、设备费、人工费、服务费、运输费、安装调试费、税费、质保期内维护费（含维修、养护、软件升级等）、必要的保险或检测费用等其他一切费用</w:t>
            </w:r>
          </w:p>
        </w:tc>
      </w:tr>
      <w:tr w14:paraId="12F8A2B6">
        <w:tblPrEx>
          <w:tblCellMar>
            <w:top w:w="13" w:type="dxa"/>
            <w:left w:w="57" w:type="dxa"/>
            <w:bottom w:w="0" w:type="dxa"/>
            <w:right w:w="57" w:type="dxa"/>
          </w:tblCellMar>
        </w:tblPrEx>
        <w:trPr>
          <w:trHeight w:val="20" w:hRule="atLeast"/>
        </w:trPr>
        <w:tc>
          <w:tcPr>
            <w:tcW w:w="8352" w:type="dxa"/>
            <w:gridSpan w:val="7"/>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D49B0E1">
            <w:pPr>
              <w:rPr>
                <w:rFonts w:ascii="宋体" w:hAnsi="宋体" w:cs="仿宋"/>
                <w:b/>
                <w:color w:val="000000"/>
                <w:szCs w:val="21"/>
              </w:rPr>
            </w:pPr>
            <w:r>
              <w:rPr>
                <w:rFonts w:hint="eastAsia" w:ascii="宋体" w:hAnsi="宋体"/>
                <w:b/>
                <w:szCs w:val="21"/>
              </w:rPr>
              <w:t>▲</w:t>
            </w:r>
            <w:r>
              <w:rPr>
                <w:rFonts w:hint="eastAsia" w:ascii="宋体" w:hAnsi="宋体" w:cs="宋体"/>
                <w:b/>
                <w:bCs/>
                <w:szCs w:val="21"/>
              </w:rPr>
              <w:t>三、其他需求</w:t>
            </w:r>
          </w:p>
        </w:tc>
      </w:tr>
      <w:tr w14:paraId="3ADEAE88">
        <w:tblPrEx>
          <w:tblCellMar>
            <w:top w:w="13" w:type="dxa"/>
            <w:left w:w="57" w:type="dxa"/>
            <w:bottom w:w="0" w:type="dxa"/>
            <w:right w:w="57" w:type="dxa"/>
          </w:tblCellMar>
        </w:tblPrEx>
        <w:trPr>
          <w:trHeight w:val="2020"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232CEC4">
            <w:pPr>
              <w:rPr>
                <w:rFonts w:ascii="宋体" w:hAnsi="宋体" w:cs="宋体"/>
                <w:b/>
                <w:bCs/>
                <w:szCs w:val="21"/>
              </w:rPr>
            </w:pPr>
            <w:r>
              <w:rPr>
                <w:rFonts w:hint="eastAsia" w:ascii="宋体" w:hAnsi="宋体" w:cs="宋体"/>
                <w:b/>
                <w:bCs/>
                <w:szCs w:val="21"/>
              </w:rPr>
              <w:t>其它要求</w:t>
            </w:r>
          </w:p>
        </w:tc>
        <w:tc>
          <w:tcPr>
            <w:tcW w:w="7093" w:type="dxa"/>
            <w:gridSpan w:val="4"/>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9ACBB59">
            <w:pPr>
              <w:rPr>
                <w:rFonts w:hint="eastAsia" w:ascii="宋体" w:hAnsi="宋体" w:cs="宋体"/>
                <w:szCs w:val="21"/>
              </w:rPr>
            </w:pPr>
            <w:r>
              <w:rPr>
                <w:rFonts w:hint="eastAsia" w:ascii="宋体" w:hAnsi="宋体" w:cs="宋体"/>
                <w:szCs w:val="21"/>
              </w:rPr>
              <w:t>1.对在“信用中国”网站、中国政府采购网被列入失信被执行人、重大税收违法案件当事人名单、政府采购严重违法失信行为记录名单及其他不符合《中华人民共和国政府采购法》第二十二条规定的供应商，不得参与投标报价。</w:t>
            </w:r>
          </w:p>
          <w:p w14:paraId="328B3204">
            <w:pPr>
              <w:rPr>
                <w:rFonts w:hint="eastAsia" w:ascii="宋体" w:hAnsi="宋体" w:cs="宋体"/>
                <w:szCs w:val="21"/>
              </w:rPr>
            </w:pPr>
            <w:r>
              <w:rPr>
                <w:rFonts w:hint="eastAsia" w:ascii="宋体" w:hAnsi="宋体" w:cs="宋体"/>
                <w:szCs w:val="21"/>
              </w:rPr>
              <w:t>2、成交供应商在收到成交结果通知之日起5个工作日内必须向采购人提供询价货物的以下纸质资料：</w:t>
            </w:r>
          </w:p>
          <w:p w14:paraId="43959B9C">
            <w:pPr>
              <w:rPr>
                <w:rFonts w:hint="eastAsia" w:ascii="宋体" w:hAnsi="宋体" w:cs="宋体"/>
                <w:szCs w:val="21"/>
              </w:rPr>
            </w:pPr>
            <w:r>
              <w:rPr>
                <w:rFonts w:hint="eastAsia" w:ascii="宋体" w:hAnsi="宋体" w:cs="宋体"/>
                <w:szCs w:val="21"/>
              </w:rPr>
              <w:t>（1）提供厂家针对该项目的授权书，并加盖厂家公章。</w:t>
            </w:r>
          </w:p>
          <w:p w14:paraId="0C1BA836">
            <w:pPr>
              <w:rPr>
                <w:rFonts w:hint="eastAsia" w:ascii="宋体" w:hAnsi="宋体" w:cs="宋体"/>
                <w:b/>
                <w:bCs/>
                <w:szCs w:val="21"/>
              </w:rPr>
            </w:pPr>
            <w:r>
              <w:rPr>
                <w:rFonts w:hint="eastAsia" w:ascii="宋体" w:hAnsi="宋体" w:cs="宋体"/>
                <w:szCs w:val="21"/>
              </w:rPr>
              <w:t>3、本项目采购任务急，现特向潜在供应商作出相关提醒：供应商存在不按要求报价、不按要求提供审查资料、或资料审查不合格、成交后无故放弃、不按合同履行等违约行为的， 采购人有权按预算金额20%的赔偿金额向成交供应商追偿其所造成的损失。</w:t>
            </w:r>
          </w:p>
        </w:tc>
      </w:tr>
    </w:tbl>
    <w:p w14:paraId="30806F44"/>
    <w:sectPr>
      <w:pgSz w:w="11906" w:h="16838"/>
      <w:pgMar w:top="1440" w:right="1800" w:bottom="1440" w:left="180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E9A58F"/>
    <w:multiLevelType w:val="singleLevel"/>
    <w:tmpl w:val="E1E9A58F"/>
    <w:lvl w:ilvl="0" w:tentative="0">
      <w:start w:val="2"/>
      <w:numFmt w:val="decimal"/>
      <w:suff w:val="nothing"/>
      <w:lvlText w:val="%1．"/>
      <w:lvlJc w:val="left"/>
      <w:pPr>
        <w:ind w:left="619" w:firstLine="0"/>
      </w:pPr>
    </w:lvl>
  </w:abstractNum>
  <w:abstractNum w:abstractNumId="1">
    <w:nsid w:val="2A371A66"/>
    <w:multiLevelType w:val="singleLevel"/>
    <w:tmpl w:val="2A371A66"/>
    <w:lvl w:ilvl="0" w:tentative="0">
      <w:start w:val="1"/>
      <w:numFmt w:val="decimal"/>
      <w:lvlText w:val="%1."/>
      <w:lvlJc w:val="left"/>
      <w:pPr>
        <w:ind w:left="425" w:hanging="425"/>
      </w:pPr>
    </w:lvl>
  </w:abstractNum>
  <w:abstractNum w:abstractNumId="2">
    <w:nsid w:val="78F06FAE"/>
    <w:multiLevelType w:val="multilevel"/>
    <w:tmpl w:val="78F06FAE"/>
    <w:lvl w:ilvl="0" w:tentative="0">
      <w:start w:val="1"/>
      <w:numFmt w:val="decimal"/>
      <w:lvlText w:val="%1."/>
      <w:lvlJc w:val="left"/>
      <w:pPr>
        <w:ind w:left="420" w:hanging="420"/>
      </w:pPr>
      <w:rPr>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isplayHorizontalDrawingGridEvery w:val="0"/>
  <w:displayVerticalDrawingGridEvery w:val="2"/>
  <w:characterSpacingControl w:val="compressPunctuation"/>
  <w:compat>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40A765C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7">
    <w:name w:val="Default Paragraph Font"/>
    <w:link w:val="1"/>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link w:val="11"/>
    <w:qFormat/>
    <w:uiPriority w:val="0"/>
    <w:pPr>
      <w:tabs>
        <w:tab w:val="center" w:pos="4153"/>
        <w:tab w:val="right" w:pos="8306"/>
      </w:tabs>
      <w:jc w:val="left"/>
    </w:pPr>
    <w:rPr>
      <w:sz w:val="18"/>
      <w:szCs w:val="18"/>
    </w:rPr>
  </w:style>
  <w:style w:type="paragraph" w:styleId="4">
    <w:name w:val="header"/>
    <w:basedOn w:val="1"/>
    <w:link w:val="8"/>
    <w:qFormat/>
    <w:uiPriority w:val="0"/>
    <w:pPr>
      <w:tabs>
        <w:tab w:val="center" w:pos="4153"/>
        <w:tab w:val="right" w:pos="8306"/>
      </w:tabs>
      <w:jc w:val="center"/>
    </w:pPr>
    <w:rPr>
      <w:sz w:val="18"/>
      <w:szCs w:val="18"/>
    </w:rPr>
  </w:style>
  <w:style w:type="paragraph" w:styleId="5">
    <w:name w:val="toc 1"/>
    <w:basedOn w:val="1"/>
    <w:next w:val="1"/>
    <w:unhideWhenUsed/>
    <w:qFormat/>
    <w:uiPriority w:val="39"/>
  </w:style>
  <w:style w:type="character" w:customStyle="1" w:styleId="8">
    <w:name w:val="页眉 字符"/>
    <w:link w:val="4"/>
    <w:qFormat/>
    <w:uiPriority w:val="0"/>
    <w:rPr>
      <w:kern w:val="2"/>
      <w:sz w:val="18"/>
      <w:szCs w:val="18"/>
    </w:rPr>
  </w:style>
  <w:style w:type="paragraph" w:customStyle="1" w:styleId="9">
    <w:name w:val="列表段落"/>
    <w:basedOn w:val="1"/>
    <w:qFormat/>
    <w:uiPriority w:val="0"/>
    <w:pPr>
      <w:ind w:firstLine="420" w:firstLineChars="200"/>
    </w:pPr>
    <w:rPr>
      <w:rFonts w:ascii="Times New Roman" w:hAnsi="Times New Roman" w:eastAsia="宋体" w:cs="Times New Roman"/>
      <w:szCs w:val="21"/>
    </w:rPr>
  </w:style>
  <w:style w:type="character" w:customStyle="1" w:styleId="10">
    <w:name w:val="font31"/>
    <w:link w:val="1"/>
    <w:qFormat/>
    <w:uiPriority w:val="0"/>
    <w:rPr>
      <w:rFonts w:hint="eastAsia" w:ascii="宋体" w:hAnsi="宋体" w:eastAsia="宋体" w:cs="宋体"/>
      <w:b/>
      <w:bCs/>
      <w:color w:val="000000"/>
      <w:sz w:val="20"/>
      <w:szCs w:val="20"/>
      <w:u w:val="none"/>
    </w:rPr>
  </w:style>
  <w:style w:type="character" w:customStyle="1" w:styleId="11">
    <w:name w:val="页脚 字符"/>
    <w:link w:val="3"/>
    <w:qFormat/>
    <w:uiPriority w:val="0"/>
    <w:rPr>
      <w:kern w:val="2"/>
      <w:sz w:val="18"/>
      <w:szCs w:val="18"/>
    </w:rPr>
  </w:style>
  <w:style w:type="character" w:customStyle="1" w:styleId="12">
    <w:name w:val="font21"/>
    <w:link w:val="1"/>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14</Pages>
  <Words>10175</Words>
  <Characters>10975</Characters>
  <TotalTime>3</TotalTime>
  <ScaleCrop>false</ScaleCrop>
  <LinksUpToDate>false</LinksUpToDate>
  <CharactersWithSpaces>11180</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2025-09-09T10:37:00Z</dcterms:created>
  <dc:creator>lenovo</dc:creator>
  <cp:lastModifiedBy>Silver</cp:lastModifiedBy>
  <cp:lastPrinted>2025-09-09T02:39:34Z</cp:lastPrinted>
  <dcterms:modified xsi:type="dcterms:W3CDTF">2025-09-09T02:42:10Z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eyJoZGlkIjoiZjQ5YWFkMmQzNDg1Y2RlM2IwMGM3ZTliZTBhZmE4NmEiLCJ1c2VySWQiOiIyNDE1NTg5MDMifQ==</vt:lpwstr>
  </property>
  <property fmtid="{D5CDD505-2E9C-101B-9397-08002B2CF9AE}" pid="3" name="KSOProductBuildVer">
    <vt:lpwstr>2052-12.1.0.22529</vt:lpwstr>
  </property>
  <property fmtid="{D5CDD505-2E9C-101B-9397-08002B2CF9AE}" pid="4" name="ICV">
    <vt:lpwstr>B7B821F98E2D49D09528D83A81DF111D_12</vt:lpwstr>
  </property>
</Properties>
</file>