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jc w:val="left"/>
        <w:rPr>
          <w:rFonts w:hint="eastAsia" w:ascii="宋体" w:hAnsi="宋体"/>
          <w:b/>
          <w:sz w:val="28"/>
          <w:szCs w:val="28"/>
          <w:lang w:val="en-US" w:eastAsia="zh-CN"/>
        </w:rPr>
      </w:pPr>
      <w:r>
        <w:rPr>
          <w:rFonts w:hint="eastAsia" w:ascii="宋体" w:hAnsi="宋体"/>
          <w:b/>
          <w:sz w:val="28"/>
          <w:szCs w:val="28"/>
        </w:rPr>
        <w:t>附件1</w:t>
      </w:r>
      <w:r>
        <w:rPr>
          <w:rFonts w:hint="eastAsia" w:ascii="宋体" w:hAnsi="宋体"/>
          <w:b/>
          <w:sz w:val="28"/>
          <w:szCs w:val="28"/>
          <w:lang w:val="en-US" w:eastAsia="zh-CN"/>
        </w:rPr>
        <w:t xml:space="preserve">              </w:t>
      </w:r>
      <w:r>
        <w:rPr>
          <w:rFonts w:hint="eastAsia" w:ascii="宋体" w:hAnsi="宋体"/>
          <w:b/>
          <w:sz w:val="28"/>
          <w:szCs w:val="28"/>
          <w:lang w:eastAsia="zh-CN"/>
        </w:rPr>
        <w:t>服务</w:t>
      </w:r>
      <w:r>
        <w:rPr>
          <w:rFonts w:hint="eastAsia" w:ascii="宋体" w:hAnsi="宋体"/>
          <w:b/>
          <w:sz w:val="28"/>
          <w:szCs w:val="28"/>
        </w:rPr>
        <w:t>采购需求及响应报价表</w:t>
      </w:r>
    </w:p>
    <w:p>
      <w:pPr>
        <w:spacing w:line="400" w:lineRule="exact"/>
        <w:rPr>
          <w:rFonts w:ascii="宋体" w:hAnsi="宋体" w:eastAsia="宋体" w:cs="Times New Roman"/>
          <w:b/>
          <w:sz w:val="24"/>
          <w:szCs w:val="24"/>
        </w:rPr>
      </w:pPr>
    </w:p>
    <w:p>
      <w:pPr>
        <w:spacing w:line="360" w:lineRule="atLeast"/>
        <w:ind w:right="380"/>
        <w:rPr>
          <w:rFonts w:hint="eastAsia" w:ascii="宋体" w:hAnsi="宋体" w:eastAsia="宋体" w:cs="Times New Roman"/>
          <w:b/>
          <w:bCs/>
          <w:szCs w:val="24"/>
          <w:lang w:val="en-US" w:eastAsia="zh-CN"/>
        </w:rPr>
      </w:pPr>
      <w:r>
        <w:rPr>
          <w:rFonts w:hint="eastAsia" w:ascii="宋体" w:hAnsi="宋体" w:eastAsia="宋体" w:cs="Times New Roman"/>
          <w:b/>
          <w:bCs/>
          <w:sz w:val="24"/>
          <w:szCs w:val="24"/>
        </w:rPr>
        <w:t>项目名称：</w:t>
      </w:r>
      <w:bookmarkStart w:id="0" w:name="OLE_LINK2"/>
      <w:r>
        <w:rPr>
          <w:rFonts w:hint="eastAsia" w:ascii="宋体" w:hAnsi="宋体" w:eastAsia="宋体" w:cs="Times New Roman"/>
          <w:b/>
          <w:bCs/>
          <w:szCs w:val="24"/>
          <w:lang w:val="en-US" w:eastAsia="zh-CN"/>
        </w:rPr>
        <w:t>广西中医药大学护理学院知识图谱建设服务委托服务</w:t>
      </w:r>
    </w:p>
    <w:p>
      <w:pPr>
        <w:spacing w:line="360" w:lineRule="atLeast"/>
        <w:ind w:right="380"/>
        <w:rPr>
          <w:rFonts w:hint="eastAsia" w:ascii="宋体" w:hAnsi="宋体" w:eastAsia="宋体" w:cs="Times New Roman"/>
          <w:b/>
          <w:bCs/>
          <w:sz w:val="24"/>
          <w:szCs w:val="24"/>
          <w:lang w:eastAsia="zh-CN"/>
        </w:rPr>
      </w:pPr>
      <w:r>
        <w:rPr>
          <w:rFonts w:hint="eastAsia" w:ascii="宋体" w:hAnsi="宋体" w:eastAsia="宋体" w:cs="Times New Roman"/>
          <w:b/>
          <w:bCs/>
          <w:sz w:val="24"/>
          <w:szCs w:val="24"/>
        </w:rPr>
        <w:t xml:space="preserve">项目编号: </w:t>
      </w:r>
      <w:r>
        <w:rPr>
          <w:rFonts w:hint="eastAsia" w:ascii="宋体" w:hAnsi="宋体" w:eastAsia="宋体" w:cs="Times New Roman"/>
          <w:b/>
          <w:bCs/>
          <w:szCs w:val="24"/>
          <w:lang w:val="en-US" w:eastAsia="zh-CN"/>
        </w:rPr>
        <w:t>GUCM-2025-XJ-003-XM</w:t>
      </w:r>
    </w:p>
    <w:bookmarkEnd w:id="0"/>
    <w:p>
      <w:pPr>
        <w:spacing w:line="400" w:lineRule="exact"/>
        <w:rPr>
          <w:rFonts w:ascii="宋体" w:hAnsi="宋体" w:eastAsia="宋体" w:cs="Times New Roman"/>
          <w:b/>
          <w:color w:val="000000"/>
          <w:szCs w:val="21"/>
        </w:rPr>
      </w:pPr>
      <w:r>
        <w:rPr>
          <w:rFonts w:hint="eastAsia" w:ascii="宋体" w:hAnsi="宋体" w:eastAsia="宋体" w:cs="Times New Roman"/>
          <w:b/>
          <w:color w:val="000000"/>
          <w:szCs w:val="21"/>
        </w:rPr>
        <w:t>说明：</w:t>
      </w:r>
      <w:r>
        <w:rPr>
          <w:rFonts w:ascii="宋体" w:hAnsi="宋体" w:eastAsia="宋体" w:cs="Times New Roman"/>
          <w:b/>
          <w:bCs/>
          <w:szCs w:val="24"/>
        </w:rPr>
        <w:t>1.</w:t>
      </w:r>
      <w:r>
        <w:rPr>
          <w:rFonts w:hint="eastAsia" w:ascii="宋体" w:hAnsi="宋体" w:eastAsia="宋体" w:cs="Times New Roman"/>
          <w:b/>
          <w:szCs w:val="24"/>
        </w:rPr>
        <w:t>本需求</w:t>
      </w:r>
      <w:r>
        <w:rPr>
          <w:rFonts w:ascii="宋体" w:hAnsi="宋体" w:eastAsia="宋体" w:cs="Times New Roman"/>
          <w:b/>
          <w:bCs/>
          <w:szCs w:val="24"/>
        </w:rPr>
        <w:t>中</w:t>
      </w:r>
      <w:r>
        <w:rPr>
          <w:rFonts w:hint="eastAsia" w:ascii="宋体" w:hAnsi="宋体" w:eastAsia="宋体" w:cs="Times New Roman"/>
          <w:b/>
          <w:bCs/>
          <w:szCs w:val="24"/>
        </w:rPr>
        <w:t>的相关参数有</w:t>
      </w:r>
      <w:r>
        <w:rPr>
          <w:rFonts w:ascii="宋体" w:hAnsi="宋体" w:eastAsia="宋体" w:cs="Times New Roman"/>
          <w:b/>
          <w:bCs/>
          <w:szCs w:val="24"/>
        </w:rPr>
        <w:t>不明确或有误的，</w:t>
      </w:r>
      <w:r>
        <w:rPr>
          <w:rFonts w:hint="eastAsia" w:ascii="宋体" w:hAnsi="宋体" w:eastAsia="宋体" w:cs="Times New Roman"/>
          <w:b/>
          <w:bCs/>
          <w:szCs w:val="24"/>
        </w:rPr>
        <w:t>报价人</w:t>
      </w:r>
      <w:r>
        <w:rPr>
          <w:rFonts w:ascii="宋体" w:hAnsi="宋体" w:eastAsia="宋体" w:cs="Times New Roman"/>
          <w:b/>
          <w:bCs/>
          <w:szCs w:val="24"/>
        </w:rPr>
        <w:t>请以详细、正确的参数</w:t>
      </w:r>
      <w:r>
        <w:rPr>
          <w:rFonts w:hint="eastAsia" w:ascii="宋体" w:hAnsi="宋体" w:eastAsia="宋体" w:cs="Times New Roman"/>
          <w:b/>
          <w:bCs/>
          <w:szCs w:val="24"/>
        </w:rPr>
        <w:t>另做附件</w:t>
      </w:r>
      <w:r>
        <w:rPr>
          <w:rFonts w:ascii="宋体" w:hAnsi="宋体" w:eastAsia="宋体" w:cs="Times New Roman"/>
          <w:b/>
          <w:bCs/>
          <w:szCs w:val="24"/>
        </w:rPr>
        <w:t>。</w:t>
      </w:r>
    </w:p>
    <w:p>
      <w:pPr>
        <w:spacing w:line="360" w:lineRule="exact"/>
        <w:ind w:left="-10" w:leftChars="-5" w:right="2" w:rightChars="1" w:firstLine="422" w:firstLineChars="200"/>
        <w:rPr>
          <w:rFonts w:ascii="宋体" w:hAnsi="宋体" w:eastAsia="宋体" w:cs="Times New Roman"/>
          <w:b/>
          <w:bCs/>
          <w:szCs w:val="21"/>
        </w:rPr>
      </w:pPr>
      <w:r>
        <w:rPr>
          <w:rFonts w:hint="eastAsia" w:ascii="宋体" w:hAnsi="宋体" w:eastAsia="宋体" w:cs="Times New Roman"/>
          <w:b/>
          <w:bCs/>
          <w:szCs w:val="24"/>
        </w:rPr>
        <w:t xml:space="preserve">  </w:t>
      </w:r>
      <w:r>
        <w:rPr>
          <w:rFonts w:ascii="宋体" w:hAnsi="宋体" w:eastAsia="宋体" w:cs="Times New Roman"/>
          <w:b/>
          <w:bCs/>
          <w:szCs w:val="24"/>
        </w:rPr>
        <w:t>2</w:t>
      </w:r>
      <w:r>
        <w:rPr>
          <w:rFonts w:hint="eastAsia" w:ascii="宋体" w:hAnsi="宋体" w:eastAsia="宋体" w:cs="Times New Roman"/>
          <w:b/>
          <w:bCs/>
          <w:szCs w:val="24"/>
        </w:rPr>
        <w:t>．报价人必须自行为其报价产品或服务侵犯其他供应商担相应法律责任</w:t>
      </w:r>
      <w:r>
        <w:rPr>
          <w:rFonts w:hint="eastAsia" w:ascii="宋体" w:hAnsi="宋体" w:eastAsia="宋体" w:cs="Times New Roman"/>
          <w:b/>
          <w:bCs/>
          <w:szCs w:val="21"/>
        </w:rPr>
        <w:t>。</w:t>
      </w:r>
    </w:p>
    <w:p>
      <w:pPr>
        <w:spacing w:line="400" w:lineRule="exact"/>
        <w:jc w:val="both"/>
        <w:rPr>
          <w:rFonts w:ascii="宋体" w:hAnsi="宋体" w:eastAsia="宋体" w:cs="Times New Roman"/>
          <w:b/>
          <w:bCs/>
          <w:szCs w:val="21"/>
        </w:rPr>
      </w:pPr>
      <w:r>
        <w:rPr>
          <w:rFonts w:hint="eastAsia"/>
        </w:rPr>
        <w:t>本章中带</w:t>
      </w:r>
      <w:r>
        <w:rPr>
          <w:rFonts w:hint="eastAsia" w:ascii="宋体" w:hAnsi="宋体" w:eastAsia="宋体" w:cs="宋体"/>
        </w:rPr>
        <w:t>▲</w:t>
      </w:r>
      <w:r>
        <w:rPr>
          <w:rFonts w:hint="eastAsia"/>
        </w:rPr>
        <w:t>号条款为实质性内容要求，投标时必须满足。</w:t>
      </w:r>
    </w:p>
    <w:tbl>
      <w:tblPr>
        <w:tblStyle w:val="7"/>
        <w:tblW w:w="902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1"/>
        <w:gridCol w:w="126"/>
        <w:gridCol w:w="1259"/>
        <w:gridCol w:w="983"/>
        <w:gridCol w:w="596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9029" w:type="dxa"/>
            <w:gridSpan w:val="5"/>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eastAsia="宋体" w:cs="Times New Roman"/>
                <w:b/>
                <w:szCs w:val="21"/>
              </w:rPr>
            </w:pPr>
            <w:r>
              <w:rPr>
                <w:rFonts w:hint="eastAsia" w:ascii="宋体" w:hAnsi="宋体" w:eastAsia="宋体" w:cs="Times New Roman"/>
                <w:b/>
                <w:szCs w:val="21"/>
              </w:rPr>
              <w:t>一、采购需求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6" w:hRule="atLeast"/>
          <w:jc w:val="center"/>
        </w:trPr>
        <w:tc>
          <w:tcPr>
            <w:tcW w:w="827"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Times New Roman"/>
                <w:b/>
                <w:szCs w:val="21"/>
              </w:rPr>
            </w:pPr>
            <w:r>
              <w:rPr>
                <w:rFonts w:hint="eastAsia" w:ascii="宋体" w:hAnsi="宋体" w:eastAsia="宋体" w:cs="Times New Roman"/>
                <w:b/>
                <w:szCs w:val="21"/>
              </w:rPr>
              <w:t>序号</w:t>
            </w:r>
          </w:p>
        </w:tc>
        <w:tc>
          <w:tcPr>
            <w:tcW w:w="12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Times New Roman"/>
                <w:b/>
                <w:szCs w:val="21"/>
              </w:rPr>
            </w:pPr>
            <w:r>
              <w:rPr>
                <w:rFonts w:hint="eastAsia" w:ascii="宋体" w:hAnsi="宋体" w:eastAsia="宋体" w:cs="Times New Roman"/>
                <w:b/>
                <w:szCs w:val="21"/>
              </w:rPr>
              <w:t>采购项目名称</w:t>
            </w:r>
          </w:p>
        </w:tc>
        <w:tc>
          <w:tcPr>
            <w:tcW w:w="98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Times New Roman"/>
                <w:b/>
                <w:szCs w:val="21"/>
              </w:rPr>
            </w:pPr>
            <w:r>
              <w:rPr>
                <w:rFonts w:hint="eastAsia" w:ascii="宋体" w:hAnsi="宋体" w:eastAsia="宋体" w:cs="Times New Roman"/>
                <w:b/>
                <w:szCs w:val="21"/>
              </w:rPr>
              <w:t>数量单位</w:t>
            </w:r>
          </w:p>
        </w:tc>
        <w:tc>
          <w:tcPr>
            <w:tcW w:w="596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Times New Roman"/>
                <w:b/>
                <w:szCs w:val="21"/>
              </w:rPr>
            </w:pPr>
            <w:r>
              <w:rPr>
                <w:rFonts w:hint="eastAsia" w:ascii="宋体" w:hAnsi="宋体" w:eastAsia="宋体" w:cs="Times New Roman"/>
                <w:b/>
                <w:szCs w:val="21"/>
              </w:rPr>
              <w:t>采购需求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22" w:hRule="atLeast"/>
          <w:jc w:val="center"/>
        </w:trPr>
        <w:tc>
          <w:tcPr>
            <w:tcW w:w="827"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Times New Roman"/>
                <w:b/>
                <w:szCs w:val="21"/>
              </w:rPr>
            </w:pPr>
            <w:r>
              <w:rPr>
                <w:rFonts w:hint="eastAsia" w:ascii="宋体" w:hAnsi="宋体" w:eastAsia="宋体" w:cs="宋体"/>
                <w:b/>
                <w:bCs/>
                <w:sz w:val="21"/>
                <w:szCs w:val="21"/>
                <w:lang w:val="en-US" w:eastAsia="zh-CN"/>
              </w:rPr>
              <w:t>1</w:t>
            </w:r>
          </w:p>
        </w:tc>
        <w:tc>
          <w:tcPr>
            <w:tcW w:w="1259"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rPr>
                <w:rFonts w:ascii="宋体" w:hAnsi="宋体" w:eastAsia="宋体" w:cs="Times New Roman"/>
                <w:szCs w:val="21"/>
              </w:rPr>
            </w:pPr>
            <w:r>
              <w:rPr>
                <w:rFonts w:hint="eastAsia" w:ascii="宋体" w:hAnsi="宋体" w:eastAsia="宋体" w:cs="Times New Roman"/>
                <w:b/>
                <w:bCs/>
                <w:szCs w:val="24"/>
                <w:lang w:val="en-US" w:eastAsia="zh-CN"/>
              </w:rPr>
              <w:t>广西中医药大学护理学院知识图谱建设服务委托服务</w:t>
            </w:r>
          </w:p>
        </w:tc>
        <w:tc>
          <w:tcPr>
            <w:tcW w:w="98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宋体" w:hAnsi="宋体" w:eastAsia="宋体" w:cs="Times New Roman"/>
                <w:b w:val="0"/>
                <w:bCs w:val="0"/>
                <w:szCs w:val="21"/>
                <w:lang w:val="en-US" w:eastAsia="zh-CN"/>
              </w:rPr>
            </w:pPr>
            <w:r>
              <w:rPr>
                <w:rFonts w:hint="eastAsia" w:ascii="宋体" w:hAnsi="宋体" w:eastAsia="宋体" w:cs="Times New Roman"/>
                <w:b w:val="0"/>
                <w:bCs w:val="0"/>
                <w:szCs w:val="21"/>
                <w:lang w:val="en-US" w:eastAsia="zh-CN"/>
              </w:rPr>
              <w:t>4门</w:t>
            </w:r>
          </w:p>
        </w:tc>
        <w:tc>
          <w:tcPr>
            <w:tcW w:w="596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left"/>
              <w:textAlignment w:val="bottom"/>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一、课程知识图谱框架设计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1.课程基本要求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供应商按要求对建设课程进行需求分析，结合学校办学定位和专业培养目标，建设完成课程内容体系设计梳理，重构课程，按建设标准完成 4门课程的知识图 谱建设。以上课程需包含课程规划、运行、推广等服务，对课程进行知识图谱设计，并协助教师完成知识图谱建设，教师团队需参与知识图谱的建设工作，由供应商提供知识图谱的平台及服务支持。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2.课程知识图谱框架设计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（1）支持搭建知识图谱、问题图谱、目标图谱三层图谱框架，知识图谱模式支持大纲模式、思维导图模式、图谱模式3种形态。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目标图谱：支持基于专业培养方案，将课程的能力目标与毕业要求关联，支持设置课程目标并与知识点关联，每门课程设定清晰的课程目标，形成知识点-课程目标-毕业要求关联体系，形成能力画像，包含能力名称、能力详情、关联问题、关联主题、关联知识点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问题图谱：支持指向高阶思维与能力提升的问题图谱创建，从高阶目标出发，通过基本问题、组合问题和疑难问题的设置，通过问题间的逻辑关系，将三层问题体系相关联，通过建设完整的问题体系及关联的问题描述、问题标签，关联知识点，形成基于问题的学习路径，引导学生从知识吸收到应用创造的能力提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知识图谱：支持设置课程里的全部知识点及其属性、知识点之间的关联关系，知识点需要覆盖整门课程理论知识体系，用知识点掌握率考察目标达成度。支持通过大纲视图、思维导图视图、图谱视图3种形式呈现知识图谱。</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3.知识点梳理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知识点是知识图谱的基本构成单位，是教学活动中传递教学信息的基本单元。知识图谱的梳理要服务于实际的教学活动，要符合教师的教学思路；知识图谱要符合揭示课程内在的逻辑结构。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（1）知识点内容和数量确定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根据课程教学目标和教学形式的要求设计和提取知识点，有相对完整的内容和教学设计，能组成适于教学的基本单元；支持结合学校定位、专业与课程目标，在符合课程统一标准的前提下，对重构后的课程内容拆分知识点，并根据课程特点和教学要求调整知识点的颗粒度，在原有课程基础上2年内可免费升级课程增加知识点数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（2）知识点的命名规范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支持对知识点进行准确命名。知识点名称要具有具体含义，知识点的命名要标准化、术语化，能够合理概括教学内容，知识点不能太琐碎，一般是词汇。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（3）知识点的类别标注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支持对知识点的类别进行以下标注：①事实性知识②概念性知识③程序性知识④元认知知识。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（4）知识点的认知维度设定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在认知领域中，教学的主要目的和任务就是使学生掌握知识，形成运用知识进行理性的、系统思维的能力。在知识图谱课程中，需要支持对每个知识点的认知维度作出明确标注，制定双向细目表，使教学更精准。知识点的教学目标设定需根据布鲁姆的教学目标结合本校教师、课程和学生特点设定、标注，应包含记忆、理解、应用、分析、评价、创造六个维度，并支持基于认知维度查看学生学习画像。</w:t>
            </w:r>
          </w:p>
          <w:p>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二、知识图谱创建和管理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1.知识图谱框架管理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（1）支持建立以学校的教务课程-知识点为体系的知识点架构进行后台知识图谱框架管理；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（2）支持对教务课程的课程类别、课程性质进行增删改查管理；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（3）支持按照学校不同专业关联不同的课程，生成学科知识图谱；</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（4）支持为网络课程和教务课程建立独立的知识图谱，便于统一管理。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2.课程知识图谱创建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（1）支持知识点多层级架构建立，生成子父级知识点关系；</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支持手动添加、批量导入等方式构建知识图谱；批量导入需支持填写知识点名称、标签信息、认知维度、分类属性、教学目标、知识点说明等信息数据；手动编辑需支持单个或批量修改知识点属性编辑，可批量或单独对当前知识点进行移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（3）支持智能导入，用户上传课程大纲、教材等，系统智能识别构建生成知识图谱；</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（4）支持本地导入xmind格式的思维导图文件，自动读取文件数据，生成课程知识图谱，并能够导出xmind格式文件。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（5）支持教务课程和网络课程知识图谱互相同步调用；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（6）支持课程章节一件转化生成知识图谱，并同时进行资源关联。</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（7）创建图谱支持同步其他课程图谱，支持全量同步或者部分选择同步。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(8)支持教师根据课程属性设定是否显示课程中心点；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(9)知识图谱知识点支持说明添加，可添加富文本编辑框、公式编辑等富媒体文本；</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(10)支持与教学平台打通，可通过教学平台现有课程章节选择生成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(11)支持知识图谱自定义编辑功能，系统提供至少8种图谱形态，用户可根据课程性质选择合适的图谱形态进行编辑；章节图谱</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(12)支持知识图谱自定义颜色设定，可根据具体要求进行图谱知识点颜色的设定；同时支持图谱知识点自定义文字颜色及大小设置。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(13)具备批量编辑图谱知识点功能，可实现批量对知识图谱知识点进行编辑修改；大纲模式下可实现对知识点进行批量全选设置；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(14)具备任意拖动功能，可实现对知识图谱知识点的单个节点进行拖动，也可实现对整个知识图谱集合进行拖动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(15)具备知识图谱门户系统，能够提供对应的知识图谱门户模板，可展示课程介绍、知识图谱、知识关系、目标图谱、问题图谱及知识图谱相关统计功能，能够与教学平台互通互联；</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（16）支持对接公共慕课平台，支持按期次继承知识图谱功能。</w:t>
            </w:r>
          </w:p>
          <w:p>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3.课程知识图谱管理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（1）支持知识点之间进行前置关系、后置关系、关联关系的设置；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（2）支持关联关系自定义，可进行添加描述并显示在图谱页面；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（3）支持给知识点打标签，自定义标签内容，支持同一个支持点标记多个标签；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（4）支持引用后台教务课程的知识图谱先进行审核，审核通过才允许引用，并记录引用次数；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（5）支持教师调整知识点在课程空间菜单栏的显示顺序；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（6）跨课知识点支持用户通过点击实现一键跳转。</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（7）支持点击知识点后，其父级知识点节点高亮显示。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（8）支持对已删除知识点资源的实时更新。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（9）具备附加标签功能，能够实现知识点的分类和标识，支持知识点设定重点、难点以及考点等标签，同时支持用户自定义标签名称。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（10）支持知识点被赋予多种分类属性，包括事实性、概念性、程序性、元认知等。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4.课程知识图谱展示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（1）系统支持根据知识树的关联关系，自动生成知识图谱；并在图谱页面以连线节点方式进行展示；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（2）支持按照知识点的关系属性（父子、关联、前后置关系）联动筛选；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（3）支持按照知识点和标签两个维度进行知识点的筛选查看；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（4）支持教师端显示知识点统计卡片，点击对应知识点可以查看知识图谱建设情况以及学生学习情况；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（5）支持智能生成学科/专业知识图谱，直观展示课程的点以及跨课程的知识点相关关系帮助交叉学科以及整合课程的发现与规划；</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（6）支持知识图谱的显示展开收起功能，默认显示父级知识点，点击显示子级知识点；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（7）教师端在图谱上支持显示所有知识点的综合统计情况卡片；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（8）持显示教师端自定义图谱样式，并进行配色方案切换展示。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（9）具备层级筛选功能，支持用户通过层级筛选查看相关知识点，方便用户对支持点的查看；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（10）支持通过标签、层级、认知维度、分类等多维度知识属性筛选知识图谱进行展示，通知支持是否显示管理关系；</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（11）具备图谱模式导出功能，支持导出当前图谱显示结果，也可通过筛选检索后导出对应结果页面；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支持思维导图模式展示图谱内容，支持切换不同的结构形式查看以及检索知识点快速查找；同时思维导图支持编辑模式，可进行操作的回退前进，知识点的增删改，以及属性编辑；支持教师和学生在思维导图模式下查看知识点概览卡片，包括知识概况、关联资源、关联试题、平均完成率、平均掌握率以及知识点分析等教学统计数据查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（13）支持大纲模式展示图谱内容，支持添加子级知识点，可以进行知识点关系的管理，支持编辑标签属性，支持以Excel形式输出图谱内容；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（14）图谱模式支持集合显示标识，支持用户自定义集合标识。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15）问题图谱模块，支持教师进行问题图谱建设（支持自定义名称及描述），添加问题卡片，同一层级的卡片支持拖动移动，拖动连线串联及删除连接等快捷操作，同时可进行标签以及知识点的关联关系建立；支持查看此问题关联的知识点小图谱，基于问题支线进行知识串联，能更好的进行同一问题场景下的知识学习。支持用户通过模板编辑问题图谱数据，以及导出线上的问题图谱数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16）目标图谱模块，支持后台编辑的课程目标中选取所需的课程目标进行添加，将目标与知识点关联，便于用户以成果导向进行学习。课程达成度、课程目标达成度、课程目标关联知识点个数，统计数据可视化，便于用户快捷查看学习进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（17）课程知识图谱门户支持自定义显隐控制，可对课程体系、知识图谱、知识关系等进行自定义显隐设置。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（18）知识点详情页，支持章节、课程资料、试题等资料的预览；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（19）支持问题图谱开启探索模式，支持问题图谱讨论区创建话题。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（20）提供多种图谱展示形式，包括导航模式、全局模式等，以适应不同用户对信息获取深度和广度的需求。</w:t>
            </w:r>
          </w:p>
          <w:p>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三、知识图谱的应用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1.资源管理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（1）支持批量对课程资料标记知识点；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（2）支持按知识点上传资源，并查看知识点关联资源数量，方便教师按知识点管理资源；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（3）知识点卡片需具备资料添加功能，可通过添加资料关联建设知识点下相关课程资料及其他相关资源。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2.题库管理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（1）支持多种题型的创建管理，包括单选、多选、填空、判断、简答、名词解析、论述、计算、分录、连线、排序、完形填空、阅读理解、口语、听力等常见题型；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（2）支持在创建或编辑题目时标记每道题对应的知识点标签，并支持按知识点筛选管理题目；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（3）支持按模板批量导入题目时导入题目知识点；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（4）支持批量编辑题目关联知识点；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（5）支持错题显示解析以及相关知识点并支持点击跳转知识点学习页面进行自适应学习；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（6）题目关联知识点操作时系统支持智能推荐知识点，便于教师快速进行关联操作；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（7）支持通过知识卡片直接添加当前知识点相关题目。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3.作业管理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支持创建作业，添加题目打知识点标签，也支持从题库抽题按知识点抽题，组建带有知识点的作业发放给学生作答。</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4.考试管理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需支持手动组建考试试卷和智能组卷可以按知识点抽题，组建带有知识点的试卷发放给学生考试。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5.学生端知识点学习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(1)支持学生查看课程知识图谱，并查看每个知识点的学习进度情况；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(2)支持学生按知识点进行课程任务学习，观看课程视频，阅读课程资料等；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(3)支持学生提交作业、考试，查看自己作答作业、考试题目的知识点掌握情况，并查看知识点推荐资源，巩固学习；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(4)支持学生按知识点从题库或错题本抽题，逐题自测。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(5)支持学生自测时可以设置抽题范围，仅抽当前知识点以及前置知识点的题，避免抽到未开始学习的知识点试题；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(6)图谱页面支持多维度筛选以及配色方案的切换；便于更直观的查看各个知识点不同维度的学习情况。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(7)学生图谱界面具备标准模式和导航模式，学生可选择具体的模式开展图谱学习。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(8)学生图谱界面支持学生通过多维度检索知识点，包括标签、层级、认知维度、分类、及具体知识点的内容的检索。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（9）学生图谱界面知识点详情页面支持url、笔记、文档等类型资料预览。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（10）通过知识图谱的形式，用颜色区分来展示知识点的完成度和掌握度，让数据的呈现更加生动和直观。</w:t>
            </w:r>
          </w:p>
          <w:p>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四、知识图谱统计与分析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1.教师端知识图谱统计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（1）教师端具备统计卡片功能，可通过卡片直接进入图谱统计分析，统计卡片需支持多维度概况数据统计及详情统计查看。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（2）支持教师查看班级整体知识点分析统计，查看知识点平均完成率、平均掌握率、完成率分布和掌握率分布等；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（3）支持按知识点查看每个知识点的关联学习资源数、平均完成率、平均掌握率、课程资料数、课程资料人均阅读情况等；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（4）支持查看班级下每个学生的知识点平均完成情况、平均掌握情况、课程资料阅读情况等；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（5）支持查看某一位学生的每个知识点的详情统计，包括每个知识点的完成情况、掌握情况、课程资料阅读情况等；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(6)支持自定义变量进行统计，系统自动输出图谱或散点图；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(7)支持单位管理员查看课程图谱建设情况，包括知识点的数量及单位下开通知识图谱情况统计。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2.学生端知识图谱统计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（1）支持学生查看本人的知识点统计分析，包括每个知识点的完成情况、掌握情况、课程资料阅读情况等；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（2）支持学生查看自己单个知识点的统计分析详情和推荐资源，包括此知识点的完成情况、掌握情况、知识点关联的学习任务完成详情等；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3.知识图谱智能路径规划与资源推荐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（1）支持学生查看基于知识点的智能学习路径，系统根据学生知识点掌握情况，智能规划知识点学习路径，学生可以按学习路径进行知识点的学习和巩固。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（2）支持按照知识点，系统智能推荐拓展资源给学生学习；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（3）支持推荐课内资源（教师关联的资源）校内平台资源（专业资源库，便于学校平台的资源聚合），提供图书、期刊、报纸、视频资源，并支持一键添加关联。</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五、思政知识图谱</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1.支持自动根据现有的图谱信息生成思政图谱的功能。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2.支持将标签为“课程思政”的知识点以花苞形式呈现，以视觉突出其在课程中的核心地位；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3.支持提供关键字精确搜索和模糊匹配两种模式，检索结果聚焦于与目标节点相关的逻辑联系，增强搜索的针对性；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4.支持搜索功能覆盖知识点、分类和标签，实现全面性，满足用户不同维度的搜索需求；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5.支持通过点击操作，可深入分类卡片获取详细信息，或直接跳转至微课进行学习，实现知识获取的快速通道。</w:t>
            </w:r>
          </w:p>
          <w:p>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六、问题图谱</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1.问题图谱-教师端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(1）系统提供对疑难、组合及基本问题的定义能力，允许用户添加问题详情及其与知识点的关联；</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(2)用户可根据教学需求，自定义栏目标题和描述，以适应多样化的教学情境；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(3)支持通过图谱形式展现问题与知识点的关联，使用户能够直观理解知识间的联系；</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(4)支持用户对栏目中节点的名称、描述、标签和知识点进行修改，保持内容的时效性和准确性；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(5)提供两种子级问题关联方式，包括层级连线和板块关联功能，以展示问题间的层级结构；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(6)支持对问题板块的删除和批量删除，提升问题管理的效；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(7)支持批量导入问题数据和一键导出问题图谱数据，简化教学资源的准备工作；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(8)提供一键展开或收起问题层级连线的功能，便于用户查看问题结构；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（9）支持开启探索模式，模拟学生学习路径，通过问题选择和知识点关联，促进学生的深入思考；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（10）在探索模式中，用户被引导将核心问题与子问题连接，形成知识网络，并通过提交与标准答案对比，实现自我评估；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（11）系统支持用户在问题图谱讨论区发起新话题，激发学生参与讨论，通过交流深化理解，促进知识共享。</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2.问题图谱-学生端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（1）支持用户识别并连接主线问题与子级问题，构建问题之间的层级关系，加深对问题网络的理解；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（2）用户完成问题解答后，可以提交答案获得反馈，系统提供与标准答案的对比，辅助学生发现差异，掌握正确解题方法；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（3）用户可在讨论区发起新话题，分享个人见解和疑问，促进知识的交流与共享；</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（4）支持用户对讨论区中的话题进行点赞和回复，增强社区的参与感和互动性，建立积极的学习氛围。</w:t>
            </w:r>
          </w:p>
          <w:p>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七、目标图谱</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1.目标图谱-教师端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(1)系统允许根据不同班级特点定制课程目标，以满足特定教学需求；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(2)课程目标标签系统支持为课程目标添加标签，包括自定义选项，便于目标的分类和识别；</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(3)支持对课程目标进行详细说明，以确保目标清晰明确；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(4)支持对课程目标名称、课程目标标签、描述进行修改，保持课程内容的准确性和时效性；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(5)支持检索课程目标标签以及课程目标名称，使用户能够快速找到特定目标；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(6)支持课程目标与知识点进行关联，以展示目标与教学内容的直接联系；</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(7)支持以柱状图展示课程目标关联知识点的个数，提供直观的统计信息；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(8)支持以列表形式展示课程目标总数、课程目标名称、课程目标说明、课程目标标签以及所关联的知识点个数，方便用户快速浏览和了解；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(9)支持以图谱形式展示每个课程目标所关联的知识点情况，增强信息的可视化效果；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(10)提供一键同步功能，允许快速复制特定班级的课程目标和知识点关联，提高教学管理的效率。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2.目标图谱-学生端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(1）支持通过柱状图形式直观展示课程目标与知识点的关联数量，提供清晰的统计视角；</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(2)支持以列表形式综合呈现课程目标的关键信息，包括总数、名称、说明、标签及知识点关联数，便于用户快速把握课程结构；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(3)支持利用图谱形式展现课程目标与知识点之间的关联，增强信息的视觉呈现和认知深度。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八、大纲模式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1.支持以清晰的列表形式呈现分类与知识点之间的层级架构，体现它们之间的逻辑和组织关系；</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2.利用标签系统对知识点和分类进行属性区分和标记，增强用户识别和分类的能力；</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3.提供功能以Excel形式输出分类和知识点的层级结构，包括节点间的前后关联、标签、分类属性、教学目标和节点说明，以便于记录和分析。</w:t>
            </w:r>
          </w:p>
          <w:p>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九、任务引擎设计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1.能力导向的任务设计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供应商能根据教学团队需求协助教师设计课程任务，课程任务类型不限，如项目任务、问题驱动任务、实践任务等，帮助老师掌握基于任务引擎创设学生为中心、高阶能力培养为导向的综合任务设计，体现教学模式，同时激发学生的学习兴趣，培养解决实际问题的能力并强化跨学科融合与协作学习，鼓励学生通过团队合作解决复杂问题，提升综合素养。</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2.任务功能模块配置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2.1支持新建、编辑、发布、管理和删除任务，并针对任务数据进行自定义排序、指定、创建文件夹进行归纳；支持跳转AI任务页面AI生成任务，提高老师任务创建效率。任务引擎支持按照章节，教案，文本三种方式AI生成任务基本信息和任务点内容，简化老师任务设计工作，提高任务的建设质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2.2支持点击新建任务，跳转至任务编辑页面，进行基本信息编辑和任务设计工作；支持编辑任务基本信息，包括任务名称、任务封面、任务介绍和选择任务标签，任务标签支持对接数据源，按照单位设置展示标签内容；支持切换标签页跳转任务设计页面，添加分组，添加任务点和设置闯关达标条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2.3支持在任务的分组下添加任务点，任务点类型包括：视频，文档（笔记），课程，章节，知识点，线下课堂，线上课堂，主题讨论，AI实践，作业，测验，自测，问卷，审批，任务，自定义等17种类型；支持直接添加当前课下资源和当前登录用户的其他课程资源到任务下，同时支持点击添加跳转到指定页面进行资源添加；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2.4支持在任务点上设置闯关条件，学生需要达到任务点设置的完成条件才能够学习下个任务点，不同类型任务点闯关条件不同；支持在任务分组上设置组间闯关条件，学生需要达到组间闯关设置的完成条件后才能够学习下个分组，不同类型任务点闯关条件不同；支持在任务设计上设置达标标准，学生完成达标标准后，整个任务学习完成，学生可以领取相应的任务达标证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2.5针对视频、文档、线上课堂、线下课堂、主题讨论、问卷、审批、自定义类型任务点，增加“成绩”按钮，方便教师录入线下教学成绩；针对自定义类型任务点，增加“签到”按钮，方便老师发放签到给学生；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2.6 任务中可插入PBL教学：支持开展分组教学活动，支持多种分组方式，包含固定分组、自选分组、组长建组、随机分组、面对面建组、不分组等分组方式；活动支持教师评价、组内评价、组间评价、自评等多种评价相结合，支持分项评分指标设置；课程成绩权重支持分组任务明细分配，不同活动可设置不同考核权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2.7支持针对单个任务点设置“是否选学”开关，开启后学生可自主决定是否学习，同时学习成绩不作任务闯关和任务达标的参考项；支持针对任务点开启高阶闯关模式，使不同成绩学生后续学习的内容不一样，满足教师个性化教学的场景；任务引擎支持选课功能，支持教师选择部分资源作为任务包，学生选择部分任务点进行选择性学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2.8支持评价功能，教师可设置评分权重/指标，评分方式等信息，学员提交任务点后，以学生自评，互评，教师评多种方式进行评价。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2.9用户完成任务设计后，支持点击发布按钮，支持任务选择班级、分组、个人进行任务发布工作；支持任务克隆功能，支持克隆给自己和克隆给他人两种方式，提高任务的复用性；支持针对任务进行报名设置工作，教师可以选择开启报名，报名需要填写信息，报名需要审批三种方式，邀请学生报名任务，同时支持查看报名信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2.10任务运行达成数据统计：学情分析页面展示学生、任务点数据和概览统计情况，方便教师一键明确学生和任务点的完成情况；支持督学，有督学和批量督学按钮，支持针对不满足学习进度的学生、单个学生、多个学生进行发放督学通知，督促学生学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2.11 提供移动端应用功能，教师可以通过移动端进行简单的任务管理工作；学生可以通过移动端进行任务学习、查看达标状态、查看证书的工作。</w:t>
            </w:r>
          </w:p>
          <w:p>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十、AI工作台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1.AI教案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由AI协助教师生成教案，支持教师输入材料或文本指令，或选择在线课程章节，完成AI赋能以学生为中心的高阶教学设计。支持选择模板，选择教案风格等内容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2.AI出题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智能化基于选择的知识点，或上传的材料，或文本指令完成各类题目智能生成，含答案解析，可一键加入题库</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3.AI批阅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可进行主观题AI智能批阅，能支持常规主观题、程序题、口语题等题型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4.AI课件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可根据需要智能生成PPT，提供多种模板、样式选择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5.AI学情分析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智能分析学情，提供各维度学生学习精准数据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6.文献阅读</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可对长文档进行智能化解析，生成摘要、思维导图、智能生成内容相关测试题与答案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7.超星翻译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可上传文件进行双语翻译，可以划词翻译，可以精准定位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8.视频理解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可对长视频进行智能化解析，生成视频摘要、片段摘要及精准时间分割点；生成思维导图、中文字幕；智能生成内容相关测试题与答案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9.作业查重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对作业进行班级内对比相似度、全网对比相似度、对比是否AI撰写等，维护学术诚信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10.公式识别</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智能识别数学等公式图片，转为可编辑的标准公式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11.指令库编辑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支持自主编辑指令库，实现基于AI互动的指令调用</w:t>
            </w:r>
          </w:p>
          <w:p>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十一、AI助教部分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1.课程专属大模型训练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对接通用大模型，同时为课程创建专属知识库、问答库，并可进行智能学习，为课程训练专属模型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2.AI启发互动助手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以任务流方式，对学生提问进行“苏格拉底式”启发引导，而不是直接给出答案。支持老师自己配置任务流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3.AI写作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由AI技术提供在线课程章节AI写作，助力教师实时更新前沿内容与最新案例: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4：AI校正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由AI对在线课程文本进行实时智能校正，保障教学内容的准确性、规范性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5：AI智能答疑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根据问题，对接通用大模型及私有模型，提供智能答疑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6：AI智能学习路径生成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基于学生学情，智能生成个性化学习路径，呈现知识点先后学习逻辑关系，及每个知识点的掌握率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7：AI智能推荐资源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通过语音或文字互动，根据需要智能推送期刊、图书等资源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8：AI智能调用应用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可通过语音或文字与助教互动，调用平台功能。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9：AI智能调用课堂活动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可通过电脑端语音唤醒助教，实现通过语音调用开启教学相关活动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10：AI智能行为督促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根据时间段给出不同的温馨提醒语，提供学习时间管理建议，激励学生保持学习动力。</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11：AI智能推荐薄弱知识点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智能化依据错题推荐薄弱知识点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12：AI智能生成错题集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智能化生成错题集，使师生更明确薄弱点，如该题目已掌握，错题集自动清空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13：AI智能审核</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针对课程内容，进行智能审核，列出有可能存在的政治性、科学性、知识产权等方面的内容，供老师修改</w:t>
            </w:r>
          </w:p>
          <w:p>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十二、平台要求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▲1.提供自主开发的云盘工具，将资源先批量上传至个人云盘中，然后在课程中引用。（提供功能截图并加盖供应商公章）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2.完善课程框架，包括课前导入（本章节导学，教学目标、重难点知识点）、教学章节、章节测验、拓展阅读等模块；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3.视频资源上传（包括教学视频资源，案例视频，如新闻、短视频、学生视频作业等）；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4.非视频教学资源，包括图书、教学课件、论文等（与授课内容相匹配、学生进行课前课后学习）；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5.添加章节测验，每一章节添加章节测验（3-5题即可），方便学生进行课前课后自测；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支持视频中任意时间点插入图片或PPT：可以在任意时间点插入图片或PPT，同时支持对插入的内容在时间轴上随意拖动。插入的PPT可以任意拖动位置，并可以跟视频窗口进行切换。（提供功能截图并加盖供应商公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参照教育部人工智能赋能智慧课程典型应用场景案例要求，提供基于人工智能技术的课程AI教学助手，为学习者提供专业化的教学资源，可作为教育者的教具，创设情境、增加情感体验、辅助教学、提高教学效率；可提高学习者学生互动参与度和主动性；可提高学生的课堂参与度，正向影响学生的课堂情感状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讨论：支持教师发起主题讨论，学生端收到讨论点击进行发表自己的看法，支持文字、图片等方式上传，学生端提交讨论后，教室主屏按提交顺序以不同颜色一一列举学生提交的内容。教师可根据提交的回答进行讲解。 讨论完后，教师可点击词云进行分析本次讨论的高频词，教师可针对高频词进行重点讲解。（提供功能截图并加盖供应商公章）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9.具备发布课程通知功能，并能及时统计到已读和未读人员名单。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10.具备考试功能，可对试卷进行随机组卷，并设置考题乱序、答案乱序，需对考试进行是否允许查看答案及分数的设定，避免学生因答题时间不同而产生作弊现象。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课堂活动：课堂授课时可直接使用课程资料进行投屏，且PPT投屏功能无需借助三方硬件，仅用手机即可实现激光笔功能和聚光灯功能，并通过该功能对投屏PPT进行激光指引。聚光灯功能支持通过手机实现对投屏PPT进行聚光展示。(提供功能截图并加盖供应商公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▲12.课堂结束后，可以将所有课堂上发布的控件进行记录，生成课堂历史记录。能实时查看任一活动的详细参与情况。（提供功能截图并加盖供应商公章）；</w:t>
            </w:r>
          </w:p>
          <w:p>
            <w:pPr>
              <w:keepNext w:val="0"/>
              <w:keepLines w:val="0"/>
              <w:widowControl/>
              <w:suppressLineNumbers w:val="0"/>
              <w:jc w:val="left"/>
              <w:textAlignment w:val="bottom"/>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13.课程知识图谱构建支持智能导入,同步其他课程知识图谱，从课程章节导入，其中智能导入支持用户自主本地上传教学大纲、书籍教材，系统进行智能识别构建生成知识图谱。</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14.支持智能识别视频内容,在视频时间点上自动打知识点标签,教师可以在智能标记的基础上进行手动调整修改；学生在学习对应知识点时视频播放自动定位到知识点标记的时间点。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15.支持智能翻译课程视频内容,视频字幕支持中文、英语，满足不同水平学生的学习需要。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16.知识点关联教学资源支持关联包括本地上传、个人云盘、添加网址、在线图书、在线笔记、教学资源库多种来源的资料。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17.知识图谱统计分析支持教师自定义分析，支持教师按照需求设定分析结果展示类型、设定多个分析变量，更自由灵活，多维度分析学生知识点学学习情况。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18.学生学习知识点时,系统支持自动推荐知识点百科介绍、开放课、期刊、图书、视频、文档、音频、链接、图片等多种系统自带的知识点扩展资源，无需教师手动关联，并支持学生自主换选一批推荐资源。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19.个性化学习路径推荐：支持学生查看基于知识点的智能学习路径，系统根据学生知识点掌握情况，智能规划知识点学习路径，学生可以按学习路径进行知识点的学习和巩固。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20、学习助手：陪伴学习，通过学习数据智能分析学生的薄弱知识点以及结合艾宾浩斯遗忘曲线分析学生需复习的知识点,陪伴引导自主学习；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21.知识点热搜榜：学生可以查看大家都在学习哪些知识点，解决学习迷航问题。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22.按不同层级查看知识图谱，按知识点搜索；支持在图谱上查看每个知识点关联的资源以及学生的掌握率和完成率。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23.需提供可用于教师课程建设和课程运行的富媒体资源库，便于教师完善课程资源，辅助教学运行。在课前/课中/课后均可使用资源库中的电子图书、报纸、期刊、专题、报纸等资源，可以用于自己课程的建设，可以对所有精彩的内容进行分享。全面辅助教师教学和学生学习。富媒体资源库中的资源量需涵盖海量学术视频与电子图书，老师备课时可以在线进行播放插入和在线虚拟剪辑；多种电子书、多种期刊，可以进行在线阅读，可以进行文字摘录直接引用到课程进行备课；电子书、学术视频等资源必须取得著作权人的授权，没有版权问题。根据国家智慧教育平台课程上线要求,供应商所提供的课程建设资源库需保证无版权问题，（成交供应商应分别提供学术视著作权授权书复印件3份、合作出版社授权书复印件3份，原件备查。）</w:t>
            </w:r>
          </w:p>
          <w:p>
            <w:pPr>
              <w:pStyle w:val="6"/>
              <w:keepNext w:val="0"/>
              <w:keepLines w:val="0"/>
              <w:widowControl/>
              <w:suppressLineNumbers w:val="0"/>
              <w:shd w:val="clear" w:fill="FFFFFF"/>
              <w:spacing w:before="0" w:beforeAutospacing="0" w:after="180" w:afterAutospacing="0"/>
              <w:ind w:left="0" w:right="0" w:firstLine="0"/>
              <w:rPr>
                <w:rFonts w:hint="eastAsia" w:ascii="宋体" w:hAnsi="宋体" w:eastAsia="宋体" w:cs="宋体"/>
                <w:b/>
                <w:bCs/>
                <w:i w:val="0"/>
                <w:iCs w:val="0"/>
                <w:caps w:val="0"/>
                <w:spacing w:val="0"/>
                <w:kern w:val="0"/>
                <w:sz w:val="27"/>
                <w:szCs w:val="27"/>
                <w:u w:val="single"/>
                <w:shd w:val="clear" w:fill="FFFFFF"/>
                <w:lang w:val="en-US" w:eastAsia="zh-CN" w:bidi="ar-SA"/>
              </w:rPr>
            </w:pPr>
            <w:r>
              <w:rPr>
                <w:rFonts w:hint="eastAsia" w:ascii="宋体" w:hAnsi="宋体" w:eastAsia="宋体" w:cs="宋体"/>
                <w:i w:val="0"/>
                <w:iCs w:val="0"/>
                <w:color w:val="000000"/>
                <w:kern w:val="0"/>
                <w:sz w:val="20"/>
                <w:szCs w:val="20"/>
                <w:u w:val="none"/>
                <w:lang w:val="en-US" w:eastAsia="zh-CN" w:bidi="ar"/>
              </w:rPr>
              <w:t>24.每一门智慧课程建设，需要与学院授课教师合作制作10个护理知识点微课视频，提供60个教学资源，包括20个动画资源，20个课件资料，20个教学设计，并利用AI数字人技术，制作授课资料。</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029" w:type="dxa"/>
            <w:gridSpan w:val="5"/>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eastAsia="宋体" w:cs="宋体"/>
                <w:b/>
                <w:kern w:val="0"/>
                <w:szCs w:val="21"/>
              </w:rPr>
            </w:pPr>
            <w:r>
              <w:rPr>
                <w:rFonts w:hint="eastAsia" w:ascii="宋体" w:hAnsi="宋体" w:eastAsia="宋体" w:cs="TimesNewRomanPSMT"/>
                <w:b/>
                <w:kern w:val="0"/>
                <w:szCs w:val="21"/>
              </w:rPr>
              <w:t>二、供应商响应情况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029" w:type="dxa"/>
            <w:gridSpan w:val="5"/>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hint="default" w:ascii="宋体" w:hAnsi="宋体" w:eastAsia="宋体" w:cs="TimesNewRomanPSMT"/>
                <w:kern w:val="0"/>
                <w:szCs w:val="21"/>
                <w:lang w:val="en-US" w:eastAsia="zh-CN"/>
              </w:rPr>
            </w:pPr>
            <w:r>
              <w:rPr>
                <w:rFonts w:hint="eastAsia" w:ascii="宋体" w:hAnsi="宋体" w:eastAsia="宋体" w:cs="TimesNewRomanPSMT"/>
                <w:kern w:val="0"/>
                <w:szCs w:val="21"/>
              </w:rPr>
              <w:t>参数响应情况：</w:t>
            </w:r>
            <w:r>
              <w:rPr>
                <w:rFonts w:hint="eastAsia" w:ascii="宋体" w:hAnsi="宋体" w:eastAsia="宋体" w:cs="TimesNewRomanPSMT"/>
                <w:kern w:val="0"/>
                <w:szCs w:val="21"/>
                <w:lang w:val="en-US" w:eastAsia="zh-CN"/>
              </w:rPr>
              <w:t xml:space="preserve">          无偏离        </w:t>
            </w:r>
            <w:r>
              <w:rPr>
                <w:rFonts w:hint="eastAsia" w:ascii="宋体" w:hAnsi="宋体" w:eastAsia="宋体" w:cs="TimesNewRomanPSMT"/>
                <w:kern w:val="0"/>
                <w:szCs w:val="21"/>
              </w:rPr>
              <w:t xml:space="preserve">  商务响应情况：</w:t>
            </w:r>
            <w:r>
              <w:rPr>
                <w:rFonts w:hint="eastAsia" w:ascii="宋体" w:hAnsi="宋体" w:eastAsia="宋体" w:cs="TimesNewRomanPSMT"/>
                <w:kern w:val="0"/>
                <w:szCs w:val="21"/>
                <w:lang w:val="en-US" w:eastAsia="zh-CN"/>
              </w:rPr>
              <w:t>无偏离</w:t>
            </w:r>
            <w:bookmarkStart w:id="1" w:name="_GoBack"/>
            <w:bookmarkEnd w:id="1"/>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4" w:hRule="atLeast"/>
          <w:jc w:val="center"/>
        </w:trPr>
        <w:tc>
          <w:tcPr>
            <w:tcW w:w="9029" w:type="dxa"/>
            <w:gridSpan w:val="5"/>
            <w:tcBorders>
              <w:top w:val="single" w:color="auto" w:sz="4" w:space="0"/>
              <w:left w:val="single" w:color="auto" w:sz="4" w:space="0"/>
              <w:bottom w:val="single" w:color="auto" w:sz="4" w:space="0"/>
              <w:right w:val="single" w:color="auto" w:sz="4" w:space="0"/>
            </w:tcBorders>
            <w:vAlign w:val="center"/>
          </w:tcPr>
          <w:p>
            <w:pPr>
              <w:tabs>
                <w:tab w:val="left" w:pos="1820"/>
              </w:tabs>
              <w:spacing w:line="360" w:lineRule="auto"/>
              <w:rPr>
                <w:rFonts w:ascii="宋体" w:hAnsi="宋体" w:eastAsia="宋体" w:cs="Courier New"/>
                <w:b/>
                <w:szCs w:val="21"/>
              </w:rPr>
            </w:pPr>
            <w:r>
              <w:rPr>
                <w:rFonts w:hint="eastAsia" w:ascii="宋体" w:hAnsi="宋体" w:eastAsia="宋体" w:cs="Times New Roman"/>
                <w:b/>
                <w:szCs w:val="21"/>
              </w:rPr>
              <w:t>三、供应商报价（必要时可另附清单）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4" w:hRule="atLeast"/>
          <w:jc w:val="center"/>
        </w:trPr>
        <w:tc>
          <w:tcPr>
            <w:tcW w:w="9029" w:type="dxa"/>
            <w:gridSpan w:val="5"/>
            <w:tcBorders>
              <w:top w:val="single" w:color="auto" w:sz="4" w:space="0"/>
              <w:left w:val="single" w:color="auto" w:sz="4" w:space="0"/>
              <w:bottom w:val="single" w:color="auto" w:sz="4" w:space="0"/>
              <w:right w:val="single" w:color="auto" w:sz="4" w:space="0"/>
            </w:tcBorders>
            <w:vAlign w:val="center"/>
          </w:tcPr>
          <w:p>
            <w:pPr>
              <w:tabs>
                <w:tab w:val="left" w:pos="1820"/>
              </w:tabs>
              <w:spacing w:line="360" w:lineRule="auto"/>
              <w:rPr>
                <w:rFonts w:ascii="宋体" w:hAnsi="宋体" w:eastAsia="宋体" w:cs="Times New Roman"/>
                <w:szCs w:val="21"/>
              </w:rPr>
            </w:pPr>
            <w:r>
              <w:rPr>
                <w:rFonts w:hint="eastAsia" w:ascii="宋体" w:hAnsi="宋体" w:eastAsia="宋体" w:cs="Times New Roman"/>
                <w:b/>
                <w:szCs w:val="21"/>
              </w:rPr>
              <w:t>报价说明</w:t>
            </w:r>
            <w:r>
              <w:rPr>
                <w:rFonts w:hint="eastAsia" w:ascii="宋体" w:hAnsi="宋体" w:eastAsia="宋体" w:cs="Times New Roman"/>
                <w:szCs w:val="21"/>
              </w:rPr>
              <w:t>：</w:t>
            </w:r>
            <w:r>
              <w:rPr>
                <w:rFonts w:hint="eastAsia" w:ascii="宋体" w:hAnsi="宋体" w:eastAsia="宋体" w:cs="Times New Roman"/>
                <w:szCs w:val="21"/>
                <w:lang w:eastAsia="zh-CN"/>
              </w:rPr>
              <w:t>服务项目实行总包干价</w:t>
            </w:r>
            <w:r>
              <w:rPr>
                <w:rFonts w:hint="eastAsia" w:ascii="宋体" w:hAnsi="宋体" w:eastAsia="宋体" w:cs="Times New Roman"/>
                <w:szCs w:val="21"/>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0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b/>
                <w:color w:val="000000"/>
                <w:szCs w:val="21"/>
              </w:rPr>
            </w:pPr>
            <w:r>
              <w:rPr>
                <w:rFonts w:hint="eastAsia" w:ascii="宋体" w:hAnsi="宋体" w:eastAsia="宋体" w:cs="宋体"/>
                <w:b/>
                <w:color w:val="000000"/>
                <w:szCs w:val="21"/>
              </w:rPr>
              <w:t>序号</w:t>
            </w:r>
          </w:p>
        </w:tc>
        <w:tc>
          <w:tcPr>
            <w:tcW w:w="1385" w:type="dxa"/>
            <w:gridSpan w:val="2"/>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b/>
                <w:color w:val="000000"/>
                <w:szCs w:val="21"/>
              </w:rPr>
            </w:pPr>
            <w:r>
              <w:rPr>
                <w:rFonts w:hint="eastAsia" w:ascii="宋体" w:hAnsi="宋体" w:eastAsia="宋体" w:cs="宋体"/>
                <w:b/>
                <w:color w:val="000000"/>
                <w:kern w:val="0"/>
                <w:szCs w:val="21"/>
              </w:rPr>
              <w:t>内容</w:t>
            </w:r>
          </w:p>
        </w:tc>
        <w:tc>
          <w:tcPr>
            <w:tcW w:w="6943" w:type="dxa"/>
            <w:gridSpan w:val="2"/>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b/>
                <w:color w:val="000000"/>
                <w:szCs w:val="21"/>
              </w:rPr>
            </w:pPr>
          </w:p>
          <w:p>
            <w:pPr>
              <w:widowControl/>
              <w:jc w:val="center"/>
              <w:textAlignment w:val="center"/>
              <w:rPr>
                <w:rFonts w:ascii="宋体" w:hAnsi="宋体" w:eastAsia="宋体" w:cs="宋体"/>
                <w:b/>
                <w:color w:val="000000"/>
                <w:szCs w:val="21"/>
              </w:rPr>
            </w:pPr>
            <w:r>
              <w:rPr>
                <w:rFonts w:hint="eastAsia" w:ascii="宋体" w:hAnsi="宋体" w:eastAsia="宋体" w:cs="宋体"/>
                <w:b/>
                <w:color w:val="000000"/>
                <w:kern w:val="0"/>
                <w:szCs w:val="21"/>
                <w:lang w:val="en-US" w:eastAsia="zh-CN"/>
              </w:rPr>
              <w:t>总包干</w:t>
            </w:r>
            <w:r>
              <w:rPr>
                <w:rFonts w:hint="eastAsia" w:ascii="宋体" w:hAnsi="宋体" w:eastAsia="宋体" w:cs="宋体"/>
                <w:b/>
                <w:color w:val="000000"/>
                <w:kern w:val="0"/>
                <w:szCs w:val="21"/>
              </w:rPr>
              <w:t>金额（万元）</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701" w:type="dxa"/>
            <w:tcBorders>
              <w:top w:val="single" w:color="auto" w:sz="4" w:space="0"/>
              <w:left w:val="single" w:color="auto" w:sz="4" w:space="0"/>
              <w:right w:val="single" w:color="auto" w:sz="4" w:space="0"/>
            </w:tcBorders>
            <w:vAlign w:val="center"/>
          </w:tcPr>
          <w:p>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1385"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both"/>
              <w:textAlignment w:val="center"/>
              <w:rPr>
                <w:rFonts w:hint="eastAsia" w:ascii="宋体" w:hAnsi="宋体" w:eastAsia="宋体" w:cs="宋体"/>
                <w:b/>
                <w:color w:val="000000"/>
                <w:kern w:val="0"/>
                <w:szCs w:val="21"/>
                <w:lang w:eastAsia="zh-CN"/>
              </w:rPr>
            </w:pPr>
            <w:r>
              <w:rPr>
                <w:rFonts w:hint="eastAsia" w:ascii="宋体" w:hAnsi="宋体" w:eastAsia="宋体" w:cs="Times New Roman"/>
                <w:b/>
                <w:bCs/>
                <w:szCs w:val="24"/>
                <w:lang w:val="en-US" w:eastAsia="zh-CN"/>
              </w:rPr>
              <w:t>广西中医药大学护理学院知识图谱建设服务委托服务</w:t>
            </w:r>
          </w:p>
        </w:tc>
        <w:tc>
          <w:tcPr>
            <w:tcW w:w="694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both"/>
              <w:textAlignment w:val="center"/>
              <w:rPr>
                <w:rFonts w:hint="default" w:ascii="宋体" w:hAnsi="宋体" w:eastAsia="宋体" w:cs="宋体"/>
                <w:color w:val="FF0000"/>
                <w:kern w:val="0"/>
                <w:szCs w:val="21"/>
                <w:lang w:val="en-US" w:eastAsia="zh-CN"/>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701" w:type="dxa"/>
            <w:tcBorders>
              <w:top w:val="single" w:color="auto" w:sz="4" w:space="0"/>
              <w:left w:val="single" w:color="auto" w:sz="4" w:space="0"/>
              <w:right w:val="single" w:color="auto" w:sz="4" w:space="0"/>
            </w:tcBorders>
            <w:vAlign w:val="center"/>
          </w:tcPr>
          <w:p>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2</w:t>
            </w:r>
          </w:p>
        </w:tc>
        <w:tc>
          <w:tcPr>
            <w:tcW w:w="1385" w:type="dxa"/>
            <w:gridSpan w:val="2"/>
            <w:tcBorders>
              <w:top w:val="nil"/>
              <w:left w:val="single" w:color="auto" w:sz="4" w:space="0"/>
              <w:bottom w:val="single" w:color="auto" w:sz="4" w:space="0"/>
              <w:right w:val="single" w:color="auto" w:sz="4" w:space="0"/>
            </w:tcBorders>
            <w:shd w:val="clear" w:color="000000" w:fill="FFFFFF"/>
            <w:vAlign w:val="center"/>
          </w:tcPr>
          <w:p>
            <w:pPr>
              <w:widowControl/>
              <w:jc w:val="center"/>
              <w:textAlignment w:val="center"/>
              <w:rPr>
                <w:rFonts w:ascii="宋体" w:hAnsi="宋体" w:eastAsia="宋体" w:cs="宋体"/>
                <w:b/>
                <w:color w:val="000000"/>
                <w:kern w:val="0"/>
                <w:szCs w:val="21"/>
              </w:rPr>
            </w:pPr>
          </w:p>
        </w:tc>
        <w:tc>
          <w:tcPr>
            <w:tcW w:w="694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eastAsia="宋体" w:cs="宋体"/>
                <w:color w:val="FF0000"/>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701" w:type="dxa"/>
            <w:tcBorders>
              <w:top w:val="single" w:color="auto" w:sz="4" w:space="0"/>
              <w:left w:val="single" w:color="auto" w:sz="4" w:space="0"/>
              <w:right w:val="single" w:color="auto" w:sz="4" w:space="0"/>
            </w:tcBorders>
            <w:vAlign w:val="center"/>
          </w:tcPr>
          <w:p>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3</w:t>
            </w:r>
          </w:p>
        </w:tc>
        <w:tc>
          <w:tcPr>
            <w:tcW w:w="1385" w:type="dxa"/>
            <w:gridSpan w:val="2"/>
            <w:tcBorders>
              <w:top w:val="nil"/>
              <w:left w:val="single" w:color="auto" w:sz="4" w:space="0"/>
              <w:bottom w:val="single" w:color="auto" w:sz="4" w:space="0"/>
              <w:right w:val="single" w:color="auto" w:sz="4" w:space="0"/>
            </w:tcBorders>
            <w:shd w:val="clear" w:color="000000" w:fill="FFFFFF"/>
            <w:vAlign w:val="center"/>
          </w:tcPr>
          <w:p>
            <w:pPr>
              <w:widowControl/>
              <w:jc w:val="center"/>
              <w:textAlignment w:val="center"/>
              <w:rPr>
                <w:rFonts w:ascii="宋体" w:hAnsi="宋体" w:eastAsia="宋体" w:cs="宋体"/>
                <w:b/>
                <w:color w:val="000000"/>
                <w:kern w:val="0"/>
                <w:szCs w:val="21"/>
              </w:rPr>
            </w:pPr>
          </w:p>
        </w:tc>
        <w:tc>
          <w:tcPr>
            <w:tcW w:w="6943" w:type="dxa"/>
            <w:gridSpan w:val="2"/>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eastAsia="宋体" w:cs="宋体"/>
                <w:color w:val="FF0000"/>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029" w:type="dxa"/>
            <w:gridSpan w:val="5"/>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eastAsia="宋体" w:cs="TimesNewRomanPSMT"/>
                <w:kern w:val="0"/>
                <w:szCs w:val="21"/>
              </w:rPr>
            </w:pPr>
            <w:r>
              <w:rPr>
                <w:rFonts w:hint="eastAsia" w:ascii="宋体" w:hAnsi="宋体" w:eastAsia="宋体" w:cs="TimesNewRomanPSMT"/>
                <w:kern w:val="0"/>
                <w:szCs w:val="21"/>
              </w:rPr>
              <w:t>报价总价大写：</w:t>
            </w:r>
            <w:r>
              <w:rPr>
                <w:rFonts w:hint="eastAsia" w:ascii="宋体" w:hAnsi="宋体" w:eastAsia="宋体" w:cs="TimesNewRomanPSMT"/>
                <w:kern w:val="0"/>
                <w:szCs w:val="21"/>
                <w:lang w:val="en-US" w:eastAsia="zh-CN"/>
              </w:rPr>
              <w:t xml:space="preserve">                 </w:t>
            </w:r>
            <w:r>
              <w:rPr>
                <w:rFonts w:hint="eastAsia" w:ascii="宋体" w:hAnsi="宋体" w:eastAsia="宋体" w:cs="TimesNewRomanPSMT"/>
                <w:kern w:val="0"/>
                <w:szCs w:val="21"/>
              </w:rPr>
              <w:t xml:space="preserve">   小写人民币：</w:t>
            </w:r>
            <w:r>
              <w:rPr>
                <w:rFonts w:hint="eastAsia" w:ascii="宋体" w:hAnsi="宋体" w:eastAsia="宋体" w:cs="TimesNewRomanPSMT"/>
                <w:kern w:val="0"/>
                <w:szCs w:val="21"/>
                <w:lang w:val="en-US" w:eastAsia="zh-CN"/>
              </w:rPr>
              <w:t xml:space="preserve">  </w:t>
            </w:r>
            <w:r>
              <w:rPr>
                <w:rFonts w:hint="eastAsia" w:ascii="宋体" w:hAnsi="宋体" w:eastAsia="宋体" w:cs="TimesNewRomanPSMT"/>
                <w:kern w:val="0"/>
                <w:szCs w:val="21"/>
              </w:rPr>
              <w:t>元</w:t>
            </w:r>
          </w:p>
        </w:tc>
      </w:tr>
    </w:tbl>
    <w:p>
      <w:pPr>
        <w:tabs>
          <w:tab w:val="center" w:pos="4153"/>
        </w:tabs>
        <w:snapToGrid w:val="0"/>
        <w:spacing w:before="50" w:after="50" w:line="360" w:lineRule="atLeast"/>
        <w:rPr>
          <w:rFonts w:ascii="宋体" w:hAnsi="宋体" w:eastAsia="宋体" w:cs="仿宋_GB2312"/>
          <w:color w:val="000000"/>
          <w:szCs w:val="21"/>
        </w:rPr>
      </w:pPr>
      <w:r>
        <w:rPr>
          <w:rFonts w:hint="eastAsia" w:ascii="宋体" w:hAnsi="宋体" w:eastAsia="宋体" w:cs="仿宋_GB2312"/>
          <w:color w:val="000000"/>
          <w:szCs w:val="21"/>
        </w:rPr>
        <w:t>供货商名称（盖章）：</w:t>
      </w:r>
    </w:p>
    <w:p>
      <w:pPr>
        <w:tabs>
          <w:tab w:val="center" w:pos="4153"/>
        </w:tabs>
        <w:snapToGrid w:val="0"/>
        <w:spacing w:before="50" w:after="50" w:line="360" w:lineRule="atLeast"/>
        <w:rPr>
          <w:rFonts w:ascii="宋体" w:hAnsi="宋体" w:eastAsia="宋体" w:cs="仿宋_GB2312"/>
          <w:color w:val="000000"/>
          <w:szCs w:val="21"/>
          <w:u w:val="single"/>
        </w:rPr>
      </w:pPr>
      <w:r>
        <w:rPr>
          <w:rFonts w:hint="eastAsia" w:ascii="宋体" w:hAnsi="宋体" w:eastAsia="宋体" w:cs="仿宋_GB2312"/>
          <w:color w:val="000000"/>
          <w:szCs w:val="21"/>
        </w:rPr>
        <w:t>法定代表人或委托代理人（签字）</w:t>
      </w:r>
      <w:r>
        <w:rPr>
          <w:rFonts w:ascii="宋体" w:hAnsi="宋体" w:eastAsia="宋体" w:cs="仿宋_GB2312"/>
          <w:color w:val="000000"/>
          <w:szCs w:val="21"/>
          <w:u w:val="single"/>
        </w:rPr>
        <w:tab/>
      </w:r>
    </w:p>
    <w:p>
      <w:pPr>
        <w:tabs>
          <w:tab w:val="center" w:pos="4153"/>
        </w:tabs>
        <w:snapToGrid w:val="0"/>
        <w:spacing w:before="50" w:after="50" w:line="360" w:lineRule="atLeast"/>
        <w:rPr>
          <w:rFonts w:ascii="宋体" w:hAnsi="宋体" w:eastAsia="宋体" w:cs="仿宋_GB2312"/>
          <w:color w:val="000000"/>
          <w:szCs w:val="21"/>
        </w:rPr>
      </w:pPr>
      <w:r>
        <w:rPr>
          <w:rFonts w:hint="eastAsia" w:ascii="宋体" w:hAnsi="宋体" w:eastAsia="宋体" w:cs="仿宋_GB2312"/>
          <w:color w:val="000000"/>
          <w:szCs w:val="21"/>
        </w:rPr>
        <w:t>联系人及联系电话：</w:t>
      </w:r>
      <w:r>
        <w:rPr>
          <w:rFonts w:ascii="宋体" w:hAnsi="宋体" w:eastAsia="宋体" w:cs="仿宋_GB2312"/>
          <w:color w:val="000000"/>
          <w:szCs w:val="21"/>
        </w:rPr>
        <w:t xml:space="preserve"> </w:t>
      </w:r>
    </w:p>
    <w:p>
      <w:pPr>
        <w:pStyle w:val="2"/>
      </w:pPr>
    </w:p>
    <w:p>
      <w:pPr>
        <w:tabs>
          <w:tab w:val="center" w:pos="4153"/>
        </w:tabs>
        <w:snapToGrid w:val="0"/>
        <w:spacing w:before="50" w:after="50" w:line="360" w:lineRule="atLeast"/>
        <w:rPr>
          <w:rFonts w:ascii="宋体" w:hAnsi="宋体" w:eastAsia="宋体" w:cs="仿宋_GB2312"/>
          <w:color w:val="000000"/>
          <w:szCs w:val="21"/>
        </w:rPr>
      </w:pPr>
      <w:r>
        <w:rPr>
          <w:rFonts w:hint="eastAsia" w:ascii="宋体" w:hAnsi="宋体" w:eastAsia="宋体" w:cs="仿宋_GB2312"/>
          <w:color w:val="000000"/>
          <w:szCs w:val="21"/>
        </w:rPr>
        <w:t xml:space="preserve">                          </w:t>
      </w:r>
      <w:r>
        <w:rPr>
          <w:rFonts w:ascii="宋体" w:hAnsi="宋体" w:eastAsia="宋体" w:cs="仿宋_GB2312"/>
          <w:color w:val="000000"/>
          <w:szCs w:val="21"/>
        </w:rPr>
        <w:t xml:space="preserve">               </w:t>
      </w:r>
      <w:r>
        <w:rPr>
          <w:rFonts w:hint="eastAsia" w:ascii="宋体" w:hAnsi="宋体" w:eastAsia="宋体" w:cs="仿宋_GB2312"/>
          <w:color w:val="000000"/>
          <w:szCs w:val="21"/>
        </w:rPr>
        <w:t xml:space="preserve">   报价日期：   年  月   日  </w:t>
      </w:r>
    </w:p>
    <w:sectPr>
      <w:pgSz w:w="11906" w:h="16838"/>
      <w:pgMar w:top="680" w:right="1558" w:bottom="68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TimesNewRomanPSMT">
    <w:altName w:val="Times New Roman"/>
    <w:panose1 w:val="00000000000000000000"/>
    <w:charset w:val="86"/>
    <w:family w:val="auto"/>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9"/>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djMGJkMjQ2YWU3YzI0ZWQ5MDIzYTA5NWI0MDhjY2EifQ=="/>
  </w:docVars>
  <w:rsids>
    <w:rsidRoot w:val="00524735"/>
    <w:rsid w:val="00001C4D"/>
    <w:rsid w:val="000151A7"/>
    <w:rsid w:val="00015768"/>
    <w:rsid w:val="00023BD5"/>
    <w:rsid w:val="00057E4B"/>
    <w:rsid w:val="000662E8"/>
    <w:rsid w:val="000A7F3A"/>
    <w:rsid w:val="000D5670"/>
    <w:rsid w:val="000E0562"/>
    <w:rsid w:val="00111693"/>
    <w:rsid w:val="001373A8"/>
    <w:rsid w:val="00157A8E"/>
    <w:rsid w:val="00176973"/>
    <w:rsid w:val="001A0047"/>
    <w:rsid w:val="001A6750"/>
    <w:rsid w:val="001B34DC"/>
    <w:rsid w:val="001B4A32"/>
    <w:rsid w:val="001C0DAF"/>
    <w:rsid w:val="001E7733"/>
    <w:rsid w:val="00206F37"/>
    <w:rsid w:val="00223331"/>
    <w:rsid w:val="0024086D"/>
    <w:rsid w:val="002708B5"/>
    <w:rsid w:val="0029114E"/>
    <w:rsid w:val="00296E65"/>
    <w:rsid w:val="002C493F"/>
    <w:rsid w:val="002E0607"/>
    <w:rsid w:val="002F4F7E"/>
    <w:rsid w:val="003204C8"/>
    <w:rsid w:val="0033284B"/>
    <w:rsid w:val="00337925"/>
    <w:rsid w:val="00346371"/>
    <w:rsid w:val="003569A7"/>
    <w:rsid w:val="003672AA"/>
    <w:rsid w:val="00396B29"/>
    <w:rsid w:val="003A6D4F"/>
    <w:rsid w:val="003B0BC1"/>
    <w:rsid w:val="003B0D49"/>
    <w:rsid w:val="003E7362"/>
    <w:rsid w:val="004004BB"/>
    <w:rsid w:val="00405D87"/>
    <w:rsid w:val="004269CC"/>
    <w:rsid w:val="00481137"/>
    <w:rsid w:val="004C21B1"/>
    <w:rsid w:val="004C5F6C"/>
    <w:rsid w:val="00507281"/>
    <w:rsid w:val="0051140A"/>
    <w:rsid w:val="00524735"/>
    <w:rsid w:val="005312D8"/>
    <w:rsid w:val="00563B34"/>
    <w:rsid w:val="00590B6E"/>
    <w:rsid w:val="005944DC"/>
    <w:rsid w:val="005D08A8"/>
    <w:rsid w:val="005D624B"/>
    <w:rsid w:val="005E52CA"/>
    <w:rsid w:val="005F16FF"/>
    <w:rsid w:val="006027D7"/>
    <w:rsid w:val="00604BDC"/>
    <w:rsid w:val="00624C56"/>
    <w:rsid w:val="006337F3"/>
    <w:rsid w:val="00646231"/>
    <w:rsid w:val="006552B4"/>
    <w:rsid w:val="006A130D"/>
    <w:rsid w:val="006F55C4"/>
    <w:rsid w:val="006F69B2"/>
    <w:rsid w:val="006F7030"/>
    <w:rsid w:val="007047E7"/>
    <w:rsid w:val="00710E97"/>
    <w:rsid w:val="007169EB"/>
    <w:rsid w:val="00721CE0"/>
    <w:rsid w:val="00755828"/>
    <w:rsid w:val="00762DF7"/>
    <w:rsid w:val="007C2B74"/>
    <w:rsid w:val="007C339F"/>
    <w:rsid w:val="007F6B6A"/>
    <w:rsid w:val="0083146F"/>
    <w:rsid w:val="0085079A"/>
    <w:rsid w:val="0086224C"/>
    <w:rsid w:val="00880385"/>
    <w:rsid w:val="00890449"/>
    <w:rsid w:val="008D0D3D"/>
    <w:rsid w:val="008E4DE4"/>
    <w:rsid w:val="008F2A60"/>
    <w:rsid w:val="008F74D2"/>
    <w:rsid w:val="00991794"/>
    <w:rsid w:val="009952DE"/>
    <w:rsid w:val="009C57F8"/>
    <w:rsid w:val="009E0515"/>
    <w:rsid w:val="00A060AF"/>
    <w:rsid w:val="00A50EBB"/>
    <w:rsid w:val="00A62D7A"/>
    <w:rsid w:val="00A67BE2"/>
    <w:rsid w:val="00A71325"/>
    <w:rsid w:val="00A8452E"/>
    <w:rsid w:val="00A9771F"/>
    <w:rsid w:val="00AC4040"/>
    <w:rsid w:val="00AD59A6"/>
    <w:rsid w:val="00AD76FB"/>
    <w:rsid w:val="00AF5446"/>
    <w:rsid w:val="00B064FB"/>
    <w:rsid w:val="00B1181B"/>
    <w:rsid w:val="00B22DB8"/>
    <w:rsid w:val="00B27915"/>
    <w:rsid w:val="00B746CC"/>
    <w:rsid w:val="00B904F5"/>
    <w:rsid w:val="00B91803"/>
    <w:rsid w:val="00B965A5"/>
    <w:rsid w:val="00B96E10"/>
    <w:rsid w:val="00BA1055"/>
    <w:rsid w:val="00BA2E26"/>
    <w:rsid w:val="00BB16E6"/>
    <w:rsid w:val="00BD7727"/>
    <w:rsid w:val="00BF0F70"/>
    <w:rsid w:val="00C17FE5"/>
    <w:rsid w:val="00C47AFF"/>
    <w:rsid w:val="00C53609"/>
    <w:rsid w:val="00CE6D71"/>
    <w:rsid w:val="00CF0D73"/>
    <w:rsid w:val="00CF76F9"/>
    <w:rsid w:val="00D077FD"/>
    <w:rsid w:val="00D13EEC"/>
    <w:rsid w:val="00D50CB5"/>
    <w:rsid w:val="00D90C70"/>
    <w:rsid w:val="00DA1CFD"/>
    <w:rsid w:val="00DE22AA"/>
    <w:rsid w:val="00DE5392"/>
    <w:rsid w:val="00E24A0E"/>
    <w:rsid w:val="00E4026B"/>
    <w:rsid w:val="00E72F0B"/>
    <w:rsid w:val="00E73DC4"/>
    <w:rsid w:val="00E82004"/>
    <w:rsid w:val="00E85EB0"/>
    <w:rsid w:val="00E93312"/>
    <w:rsid w:val="00EA5557"/>
    <w:rsid w:val="00EE5DEA"/>
    <w:rsid w:val="00F328EB"/>
    <w:rsid w:val="00F45CD2"/>
    <w:rsid w:val="00F56E46"/>
    <w:rsid w:val="00F77061"/>
    <w:rsid w:val="00FE76F2"/>
    <w:rsid w:val="021B04E9"/>
    <w:rsid w:val="02990C86"/>
    <w:rsid w:val="04B252B7"/>
    <w:rsid w:val="050A002F"/>
    <w:rsid w:val="06696C18"/>
    <w:rsid w:val="08711E6A"/>
    <w:rsid w:val="08FE3622"/>
    <w:rsid w:val="0C5F6C9D"/>
    <w:rsid w:val="0C741652"/>
    <w:rsid w:val="0D244E26"/>
    <w:rsid w:val="0EC773BC"/>
    <w:rsid w:val="116021A5"/>
    <w:rsid w:val="15082937"/>
    <w:rsid w:val="15363948"/>
    <w:rsid w:val="155142DE"/>
    <w:rsid w:val="178766DD"/>
    <w:rsid w:val="189E521C"/>
    <w:rsid w:val="18A33D59"/>
    <w:rsid w:val="18ED5352"/>
    <w:rsid w:val="196C5B8A"/>
    <w:rsid w:val="19A10B83"/>
    <w:rsid w:val="1B3A34BE"/>
    <w:rsid w:val="1CA64241"/>
    <w:rsid w:val="1E1A5BD2"/>
    <w:rsid w:val="1EFC2921"/>
    <w:rsid w:val="1F066139"/>
    <w:rsid w:val="20C46CE7"/>
    <w:rsid w:val="21D40771"/>
    <w:rsid w:val="221E6C99"/>
    <w:rsid w:val="22804455"/>
    <w:rsid w:val="22DD75EC"/>
    <w:rsid w:val="2492046F"/>
    <w:rsid w:val="24D665AE"/>
    <w:rsid w:val="25201F1F"/>
    <w:rsid w:val="258C10EE"/>
    <w:rsid w:val="2685203A"/>
    <w:rsid w:val="28E3564E"/>
    <w:rsid w:val="2A790107"/>
    <w:rsid w:val="2A8A6882"/>
    <w:rsid w:val="2DB11966"/>
    <w:rsid w:val="2F191259"/>
    <w:rsid w:val="30A43A9F"/>
    <w:rsid w:val="30B71989"/>
    <w:rsid w:val="31F84007"/>
    <w:rsid w:val="348706B0"/>
    <w:rsid w:val="34CA4AB0"/>
    <w:rsid w:val="35074561"/>
    <w:rsid w:val="361D0E97"/>
    <w:rsid w:val="365D57F4"/>
    <w:rsid w:val="36EA2335"/>
    <w:rsid w:val="38D46E50"/>
    <w:rsid w:val="38F0754B"/>
    <w:rsid w:val="39875C71"/>
    <w:rsid w:val="3A6765BE"/>
    <w:rsid w:val="3AE01ADD"/>
    <w:rsid w:val="3C0D56D3"/>
    <w:rsid w:val="3CD46809"/>
    <w:rsid w:val="3E9230EE"/>
    <w:rsid w:val="3F890995"/>
    <w:rsid w:val="47F44134"/>
    <w:rsid w:val="48154D05"/>
    <w:rsid w:val="48EC5AF0"/>
    <w:rsid w:val="4A9401EE"/>
    <w:rsid w:val="4AAD305D"/>
    <w:rsid w:val="4DA1334D"/>
    <w:rsid w:val="4DE374C2"/>
    <w:rsid w:val="4E487C6D"/>
    <w:rsid w:val="50030AC9"/>
    <w:rsid w:val="502B6EFE"/>
    <w:rsid w:val="5069558E"/>
    <w:rsid w:val="54212AF2"/>
    <w:rsid w:val="542A7E0B"/>
    <w:rsid w:val="54D23DEC"/>
    <w:rsid w:val="54DC2F82"/>
    <w:rsid w:val="582157B7"/>
    <w:rsid w:val="59D53026"/>
    <w:rsid w:val="5DDB3533"/>
    <w:rsid w:val="5FEC48FC"/>
    <w:rsid w:val="60E92BEA"/>
    <w:rsid w:val="642F3CCD"/>
    <w:rsid w:val="65FD2C93"/>
    <w:rsid w:val="66952ECC"/>
    <w:rsid w:val="6A4410A4"/>
    <w:rsid w:val="6B021A3D"/>
    <w:rsid w:val="6CB00A5F"/>
    <w:rsid w:val="6CC369E5"/>
    <w:rsid w:val="70260062"/>
    <w:rsid w:val="70567B70"/>
    <w:rsid w:val="776B3F01"/>
    <w:rsid w:val="789E3E62"/>
    <w:rsid w:val="7961387E"/>
    <w:rsid w:val="7B2A40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qFormat/>
    <w:uiPriority w:val="0"/>
    <w:pPr>
      <w:keepNext/>
      <w:keepLines/>
      <w:spacing w:line="416" w:lineRule="auto"/>
      <w:outlineLvl w:val="1"/>
    </w:pPr>
    <w:rPr>
      <w:rFonts w:ascii="Arial" w:hAnsi="Arial" w:eastAsia="黑体"/>
      <w:b/>
      <w:bCs/>
      <w:kern w:val="0"/>
      <w:sz w:val="32"/>
      <w:szCs w:val="32"/>
    </w:rPr>
  </w:style>
  <w:style w:type="character" w:default="1" w:styleId="9">
    <w:name w:val="Default Paragraph Font"/>
    <w:unhideWhenUsed/>
    <w:qFormat/>
    <w:uiPriority w:val="1"/>
  </w:style>
  <w:style w:type="table" w:default="1" w:styleId="7">
    <w:name w:val="Normal Table"/>
    <w:unhideWhenUsed/>
    <w:qFormat/>
    <w:uiPriority w:val="99"/>
    <w:tblPr>
      <w:tblCellMar>
        <w:top w:w="0" w:type="dxa"/>
        <w:left w:w="108" w:type="dxa"/>
        <w:bottom w:w="0" w:type="dxa"/>
        <w:right w:w="108" w:type="dxa"/>
      </w:tblCellMar>
    </w:tblPr>
  </w:style>
  <w:style w:type="paragraph" w:styleId="3">
    <w:name w:val="Balloon Text"/>
    <w:basedOn w:val="1"/>
    <w:link w:val="13"/>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qFormat/>
    <w:uiPriority w:val="99"/>
    <w:rPr>
      <w:sz w:val="24"/>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Hyperlink"/>
    <w:basedOn w:val="9"/>
    <w:semiHidden/>
    <w:unhideWhenUsed/>
    <w:qFormat/>
    <w:uiPriority w:val="99"/>
    <w:rPr>
      <w:color w:val="0000FF"/>
      <w:u w:val="single"/>
    </w:rPr>
  </w:style>
  <w:style w:type="character" w:customStyle="1" w:styleId="11">
    <w:name w:val="页眉 字符"/>
    <w:basedOn w:val="9"/>
    <w:link w:val="5"/>
    <w:qFormat/>
    <w:uiPriority w:val="99"/>
    <w:rPr>
      <w:sz w:val="18"/>
      <w:szCs w:val="18"/>
    </w:rPr>
  </w:style>
  <w:style w:type="character" w:customStyle="1" w:styleId="12">
    <w:name w:val="页脚 字符"/>
    <w:basedOn w:val="9"/>
    <w:link w:val="4"/>
    <w:qFormat/>
    <w:uiPriority w:val="99"/>
    <w:rPr>
      <w:sz w:val="18"/>
      <w:szCs w:val="18"/>
    </w:rPr>
  </w:style>
  <w:style w:type="character" w:customStyle="1" w:styleId="13">
    <w:name w:val="批注框文本 字符"/>
    <w:basedOn w:val="9"/>
    <w:link w:val="3"/>
    <w:semiHidden/>
    <w:qFormat/>
    <w:uiPriority w:val="99"/>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12</Pages>
  <Words>1444</Words>
  <Characters>1481</Characters>
  <Lines>5</Lines>
  <Paragraphs>1</Paragraphs>
  <TotalTime>4</TotalTime>
  <ScaleCrop>false</ScaleCrop>
  <LinksUpToDate>false</LinksUpToDate>
  <CharactersWithSpaces>1611</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2022-01-12T07:22:00Z</dcterms:created>
  <dc:creator>黄妍</dc:creator>
  <cp:lastModifiedBy>XM</cp:lastModifiedBy>
  <cp:lastPrinted>2025-11-03T07:48:00Z</cp:lastPrinted>
  <dcterms:modified xsi:type="dcterms:W3CDTF">2025-11-03T08:44:41Z</dcterms:modified>
  <cp:revision>68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1331417C877F441B8544A8F934D99538</vt:lpwstr>
  </property>
  <property fmtid="{D5CDD505-2E9C-101B-9397-08002B2CF9AE}" pid="4" name="KSOTemplateDocerSaveRecord">
    <vt:lpwstr>eyJoZGlkIjoiZGQ5MDRkMTUyYTY0ZjllYzYyMjJlMzBlYTA1NmZmZjkiLCJ1c2VySWQiOiIyNzE5NzM5ODQifQ==</vt:lpwstr>
  </property>
</Properties>
</file>