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400" w:lineRule="exact"/>
        <w:rPr>
          <w:rFonts w:ascii="宋体" w:hAnsi="宋体"/>
          <w:b/>
          <w:sz w:val="28"/>
          <w:szCs w:val="28"/>
        </w:rPr>
      </w:pPr>
      <w:r>
        <w:rPr>
          <w:rFonts w:hint="eastAsia" w:ascii="宋体" w:hAnsi="宋体"/>
          <w:b/>
          <w:sz w:val="28"/>
          <w:szCs w:val="28"/>
        </w:rPr>
        <w:t>附件3</w:t>
      </w:r>
    </w:p>
    <w:p>
      <w:pPr>
        <w:spacing w:line="400" w:lineRule="exact"/>
        <w:jc w:val="center"/>
        <w:rPr>
          <w:rFonts w:hint="eastAsia" w:ascii="宋体" w:hAnsi="宋体"/>
          <w:b/>
          <w:sz w:val="28"/>
          <w:szCs w:val="28"/>
        </w:rPr>
      </w:pPr>
      <w:r>
        <w:rPr>
          <w:rFonts w:hint="eastAsia" w:ascii="宋体" w:hAnsi="宋体"/>
          <w:b/>
          <w:sz w:val="28"/>
          <w:szCs w:val="28"/>
          <w:lang w:eastAsia="zh-CN"/>
        </w:rPr>
        <w:t>服务</w:t>
      </w:r>
      <w:r>
        <w:rPr>
          <w:rFonts w:hint="eastAsia" w:ascii="宋体" w:hAnsi="宋体"/>
          <w:b/>
          <w:sz w:val="28"/>
          <w:szCs w:val="28"/>
        </w:rPr>
        <w:t>采购需求</w:t>
      </w:r>
    </w:p>
    <w:p>
      <w:pPr>
        <w:spacing w:line="400" w:lineRule="exact"/>
        <w:jc w:val="both"/>
        <w:rPr>
          <w:rFonts w:hint="eastAsia" w:ascii="宋体" w:hAnsi="宋体"/>
          <w:b/>
          <w:sz w:val="28"/>
          <w:szCs w:val="28"/>
          <w:lang w:val="en-US" w:eastAsia="zh-CN"/>
        </w:rPr>
      </w:pPr>
      <w:r>
        <w:rPr>
          <w:rFonts w:hint="eastAsia"/>
        </w:rPr>
        <w:t>本章中带</w:t>
      </w:r>
      <w:r>
        <w:rPr>
          <w:rFonts w:hint="eastAsia" w:ascii="宋体" w:hAnsi="宋体" w:eastAsia="宋体" w:cs="宋体"/>
        </w:rPr>
        <w:t>▲</w:t>
      </w:r>
      <w:r>
        <w:rPr>
          <w:rFonts w:hint="eastAsia"/>
        </w:rPr>
        <w:t>号条款为实质性内容要求，投标时必须满足。</w:t>
      </w:r>
    </w:p>
    <w:tbl>
      <w:tblPr>
        <w:tblStyle w:val="11"/>
        <w:tblW w:w="9209" w:type="dxa"/>
        <w:jc w:val="center"/>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
      <w:tblGrid>
        <w:gridCol w:w="830"/>
        <w:gridCol w:w="983"/>
        <w:gridCol w:w="1255"/>
        <w:gridCol w:w="1278"/>
        <w:gridCol w:w="810"/>
        <w:gridCol w:w="4053"/>
      </w:tblGrid>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399" w:hRule="atLeast"/>
          <w:jc w:val="center"/>
        </w:trPr>
        <w:tc>
          <w:tcPr>
            <w:tcW w:w="9209" w:type="dxa"/>
            <w:gridSpan w:val="6"/>
            <w:tcBorders>
              <w:top w:val="single" w:color="auto" w:sz="4" w:space="0"/>
              <w:left w:val="single" w:color="auto" w:sz="4" w:space="0"/>
              <w:bottom w:val="single" w:color="auto" w:sz="4" w:space="0"/>
              <w:right w:val="single" w:color="auto" w:sz="4" w:space="0"/>
            </w:tcBorders>
            <w:vAlign w:val="center"/>
          </w:tcPr>
          <w:p>
            <w:pPr>
              <w:spacing w:line="360" w:lineRule="auto"/>
              <w:jc w:val="left"/>
              <w:rPr>
                <w:rFonts w:ascii="宋体" w:hAnsi="宋体"/>
                <w:b/>
                <w:szCs w:val="21"/>
              </w:rPr>
            </w:pPr>
            <w:r>
              <w:rPr>
                <w:rFonts w:hint="eastAsia" w:ascii="宋体" w:hAnsi="宋体"/>
                <w:b/>
                <w:szCs w:val="21"/>
              </w:rPr>
              <w:t>一、物品参数需求</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399" w:hRule="atLeast"/>
          <w:jc w:val="center"/>
        </w:trPr>
        <w:tc>
          <w:tcPr>
            <w:tcW w:w="830"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宋体" w:hAnsi="宋体"/>
                <w:b/>
                <w:szCs w:val="21"/>
              </w:rPr>
            </w:pPr>
            <w:r>
              <w:rPr>
                <w:rFonts w:hint="eastAsia" w:ascii="宋体" w:hAnsi="宋体"/>
                <w:b/>
                <w:szCs w:val="21"/>
              </w:rPr>
              <w:t>序号</w:t>
            </w:r>
          </w:p>
        </w:tc>
        <w:tc>
          <w:tcPr>
            <w:tcW w:w="2238" w:type="dxa"/>
            <w:gridSpan w:val="2"/>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宋体" w:hAnsi="宋体"/>
                <w:b/>
                <w:szCs w:val="21"/>
              </w:rPr>
            </w:pPr>
            <w:r>
              <w:rPr>
                <w:rFonts w:hint="eastAsia" w:ascii="宋体" w:hAnsi="宋体"/>
                <w:b/>
                <w:szCs w:val="21"/>
              </w:rPr>
              <w:t>采购</w:t>
            </w:r>
            <w:r>
              <w:rPr>
                <w:rFonts w:hint="eastAsia" w:ascii="宋体" w:hAnsi="宋体"/>
                <w:b/>
                <w:szCs w:val="21"/>
                <w:lang w:eastAsia="zh-CN"/>
              </w:rPr>
              <w:t>服务</w:t>
            </w:r>
            <w:r>
              <w:rPr>
                <w:rFonts w:hint="eastAsia" w:ascii="宋体" w:hAnsi="宋体"/>
                <w:b/>
                <w:szCs w:val="21"/>
              </w:rPr>
              <w:t>名称</w:t>
            </w:r>
          </w:p>
        </w:tc>
        <w:tc>
          <w:tcPr>
            <w:tcW w:w="1278" w:type="dxa"/>
            <w:tcBorders>
              <w:top w:val="single" w:color="auto" w:sz="4" w:space="0"/>
              <w:left w:val="single" w:color="auto" w:sz="4" w:space="0"/>
              <w:bottom w:val="single" w:color="auto" w:sz="4" w:space="0"/>
              <w:right w:val="single" w:color="auto" w:sz="4" w:space="0"/>
            </w:tcBorders>
            <w:vAlign w:val="center"/>
          </w:tcPr>
          <w:p>
            <w:pPr>
              <w:snapToGrid w:val="0"/>
              <w:jc w:val="center"/>
              <w:rPr>
                <w:rFonts w:ascii="宋体" w:hAnsi="宋体"/>
                <w:b/>
                <w:szCs w:val="21"/>
              </w:rPr>
            </w:pPr>
            <w:r>
              <w:rPr>
                <w:rFonts w:hint="eastAsia" w:ascii="宋体" w:hAnsi="宋体"/>
                <w:b/>
                <w:szCs w:val="21"/>
              </w:rPr>
              <w:t>参考</w:t>
            </w:r>
          </w:p>
          <w:p>
            <w:pPr>
              <w:snapToGrid w:val="0"/>
              <w:jc w:val="center"/>
              <w:rPr>
                <w:rFonts w:ascii="宋体" w:hAnsi="宋体"/>
                <w:b/>
                <w:szCs w:val="21"/>
              </w:rPr>
            </w:pPr>
          </w:p>
        </w:tc>
        <w:tc>
          <w:tcPr>
            <w:tcW w:w="810" w:type="dxa"/>
            <w:tcBorders>
              <w:top w:val="single" w:color="auto" w:sz="4" w:space="0"/>
              <w:left w:val="single" w:color="auto" w:sz="4" w:space="0"/>
              <w:bottom w:val="single" w:color="auto" w:sz="4" w:space="0"/>
              <w:right w:val="single" w:color="auto" w:sz="4" w:space="0"/>
            </w:tcBorders>
            <w:vAlign w:val="center"/>
          </w:tcPr>
          <w:p>
            <w:pPr>
              <w:snapToGrid w:val="0"/>
              <w:jc w:val="center"/>
              <w:rPr>
                <w:rFonts w:ascii="宋体" w:hAnsi="宋体"/>
                <w:b/>
                <w:szCs w:val="21"/>
              </w:rPr>
            </w:pPr>
            <w:r>
              <w:rPr>
                <w:rFonts w:hint="eastAsia" w:ascii="宋体" w:hAnsi="宋体"/>
                <w:b/>
                <w:szCs w:val="21"/>
              </w:rPr>
              <w:t>数量</w:t>
            </w:r>
          </w:p>
          <w:p>
            <w:pPr>
              <w:snapToGrid w:val="0"/>
              <w:jc w:val="center"/>
              <w:rPr>
                <w:rFonts w:ascii="宋体" w:hAnsi="宋体"/>
                <w:b/>
                <w:szCs w:val="21"/>
              </w:rPr>
            </w:pPr>
            <w:r>
              <w:rPr>
                <w:rFonts w:hint="eastAsia" w:ascii="宋体" w:hAnsi="宋体"/>
                <w:b/>
                <w:szCs w:val="21"/>
              </w:rPr>
              <w:t>单位</w:t>
            </w:r>
          </w:p>
        </w:tc>
        <w:tc>
          <w:tcPr>
            <w:tcW w:w="4053"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宋体" w:hAnsi="宋体"/>
                <w:b/>
                <w:szCs w:val="21"/>
              </w:rPr>
            </w:pPr>
            <w:r>
              <w:rPr>
                <w:rFonts w:hint="eastAsia" w:ascii="宋体" w:hAnsi="宋体"/>
                <w:b/>
                <w:szCs w:val="21"/>
              </w:rPr>
              <w:t>项目要求及</w:t>
            </w:r>
            <w:r>
              <w:rPr>
                <w:rFonts w:hint="eastAsia" w:ascii="宋体" w:hAnsi="宋体"/>
                <w:b/>
                <w:szCs w:val="21"/>
                <w:lang w:eastAsia="zh-CN"/>
              </w:rPr>
              <w:t>服务</w:t>
            </w:r>
            <w:r>
              <w:rPr>
                <w:rFonts w:hint="eastAsia" w:ascii="宋体" w:hAnsi="宋体"/>
                <w:b/>
                <w:szCs w:val="21"/>
              </w:rPr>
              <w:t>参数需求</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23" w:hRule="atLeast"/>
          <w:jc w:val="center"/>
        </w:trPr>
        <w:tc>
          <w:tcPr>
            <w:tcW w:w="830"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宋体" w:hAnsi="宋体"/>
                <w:szCs w:val="21"/>
              </w:rPr>
            </w:pPr>
            <w:r>
              <w:rPr>
                <w:rFonts w:hint="eastAsia" w:ascii="宋体" w:hAnsi="宋体"/>
                <w:szCs w:val="21"/>
              </w:rPr>
              <w:t>1</w:t>
            </w:r>
          </w:p>
        </w:tc>
        <w:tc>
          <w:tcPr>
            <w:tcW w:w="2238" w:type="dxa"/>
            <w:gridSpan w:val="2"/>
            <w:tcBorders>
              <w:top w:val="single" w:color="auto" w:sz="4" w:space="0"/>
              <w:left w:val="single" w:color="auto" w:sz="4" w:space="0"/>
              <w:bottom w:val="single" w:color="auto" w:sz="4" w:space="0"/>
              <w:right w:val="single" w:color="auto" w:sz="4" w:space="0"/>
            </w:tcBorders>
            <w:shd w:val="clear" w:color="000000" w:fill="FFFFFF"/>
            <w:vAlign w:val="center"/>
          </w:tcPr>
          <w:p>
            <w:pPr>
              <w:autoSpaceDE w:val="0"/>
              <w:autoSpaceDN w:val="0"/>
              <w:adjustRightInd w:val="0"/>
              <w:spacing w:line="360" w:lineRule="auto"/>
              <w:jc w:val="both"/>
              <w:rPr>
                <w:rFonts w:hint="eastAsia" w:ascii="宋体" w:hAnsi="宋体" w:cs="宋体" w:eastAsiaTheme="minorEastAsia"/>
                <w:kern w:val="0"/>
                <w:sz w:val="21"/>
                <w:szCs w:val="21"/>
                <w:lang w:eastAsia="zh-CN"/>
              </w:rPr>
            </w:pPr>
            <w:r>
              <w:rPr>
                <w:rFonts w:hint="eastAsia" w:ascii="宋体" w:hAnsi="宋体" w:cs="宋体" w:eastAsiaTheme="minorEastAsia"/>
                <w:kern w:val="0"/>
                <w:sz w:val="21"/>
                <w:szCs w:val="21"/>
                <w:lang w:val="en-US" w:eastAsia="zh-CN"/>
              </w:rPr>
              <w:t>广西中医药大学护理学院知识图谱建设服务委托服务</w:t>
            </w:r>
          </w:p>
        </w:tc>
        <w:tc>
          <w:tcPr>
            <w:tcW w:w="1278" w:type="dxa"/>
            <w:tcBorders>
              <w:top w:val="nil"/>
              <w:left w:val="single" w:color="auto" w:sz="4" w:space="0"/>
              <w:bottom w:val="single" w:color="auto" w:sz="4" w:space="0"/>
              <w:right w:val="single" w:color="auto" w:sz="4" w:space="0"/>
            </w:tcBorders>
            <w:shd w:val="clear" w:color="auto" w:fill="auto"/>
            <w:vAlign w:val="center"/>
          </w:tcPr>
          <w:p>
            <w:pPr>
              <w:jc w:val="center"/>
              <w:rPr>
                <w:rFonts w:hint="default" w:ascii="宋体" w:hAnsi="宋体" w:cs="宋体" w:eastAsiaTheme="minorEastAsia"/>
                <w:kern w:val="0"/>
                <w:sz w:val="21"/>
                <w:szCs w:val="21"/>
                <w:lang w:val="en-US" w:eastAsia="zh-CN"/>
              </w:rPr>
            </w:pPr>
            <w:r>
              <w:rPr>
                <w:rFonts w:hint="eastAsia" w:ascii="宋体" w:hAnsi="宋体" w:cs="宋体"/>
                <w:kern w:val="0"/>
                <w:sz w:val="21"/>
                <w:szCs w:val="21"/>
                <w:lang w:val="en-US" w:eastAsia="zh-CN"/>
              </w:rPr>
              <w:t>/</w:t>
            </w:r>
          </w:p>
        </w:tc>
        <w:tc>
          <w:tcPr>
            <w:tcW w:w="810"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360" w:lineRule="auto"/>
              <w:jc w:val="center"/>
              <w:rPr>
                <w:rFonts w:hint="default" w:ascii="宋体" w:hAnsi="宋体" w:cs="宋体" w:eastAsiaTheme="minorEastAsia"/>
                <w:kern w:val="0"/>
                <w:sz w:val="21"/>
                <w:szCs w:val="21"/>
                <w:lang w:val="en-US" w:eastAsia="zh-CN"/>
              </w:rPr>
            </w:pPr>
            <w:r>
              <w:rPr>
                <w:rFonts w:hint="eastAsia" w:ascii="宋体" w:hAnsi="宋体" w:cs="宋体"/>
                <w:kern w:val="0"/>
                <w:sz w:val="21"/>
                <w:szCs w:val="21"/>
                <w:lang w:val="en-US" w:eastAsia="zh-CN"/>
              </w:rPr>
              <w:t>4门</w:t>
            </w:r>
            <w:bookmarkStart w:id="0" w:name="_GoBack"/>
            <w:bookmarkEnd w:id="0"/>
          </w:p>
        </w:tc>
        <w:tc>
          <w:tcPr>
            <w:tcW w:w="4053" w:type="dxa"/>
            <w:tcBorders>
              <w:top w:val="nil"/>
              <w:left w:val="nil"/>
              <w:bottom w:val="single" w:color="auto" w:sz="4" w:space="0"/>
              <w:right w:val="single" w:color="auto" w:sz="4" w:space="0"/>
            </w:tcBorders>
            <w:shd w:val="clear" w:color="auto" w:fill="auto"/>
            <w:vAlign w:val="center"/>
          </w:tcPr>
          <w:p>
            <w:pPr>
              <w:pStyle w:val="2"/>
              <w:rPr>
                <w:rFonts w:hint="default" w:eastAsia="宋体"/>
                <w:sz w:val="21"/>
                <w:szCs w:val="21"/>
                <w:lang w:val="en-US" w:eastAsia="zh-CN" w:bidi="ar"/>
              </w:rPr>
            </w:pPr>
            <w:r>
              <w:rPr>
                <w:rFonts w:hint="eastAsia"/>
                <w:sz w:val="21"/>
                <w:szCs w:val="21"/>
                <w:lang w:val="en-US" w:eastAsia="zh-CN" w:bidi="ar"/>
              </w:rPr>
              <w:t>课程的知识图谱建设</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21" w:hRule="atLeast"/>
          <w:jc w:val="center"/>
        </w:trPr>
        <w:tc>
          <w:tcPr>
            <w:tcW w:w="9209" w:type="dxa"/>
            <w:gridSpan w:val="6"/>
            <w:tcBorders>
              <w:top w:val="single" w:color="auto" w:sz="4" w:space="0"/>
              <w:left w:val="single" w:color="auto" w:sz="4" w:space="0"/>
              <w:bottom w:val="single" w:color="auto" w:sz="4" w:space="0"/>
              <w:right w:val="single" w:color="auto" w:sz="4" w:space="0"/>
            </w:tcBorders>
            <w:vAlign w:val="center"/>
          </w:tcPr>
          <w:p>
            <w:pPr>
              <w:tabs>
                <w:tab w:val="left" w:pos="1820"/>
              </w:tabs>
              <w:spacing w:line="360" w:lineRule="auto"/>
              <w:rPr>
                <w:rFonts w:ascii="宋体" w:hAnsi="宋体" w:cs="宋体"/>
                <w:kern w:val="0"/>
                <w:szCs w:val="21"/>
              </w:rPr>
            </w:pPr>
            <w:r>
              <w:rPr>
                <w:rFonts w:hint="eastAsia" w:ascii="宋体" w:hAnsi="宋体" w:cs="宋体"/>
                <w:kern w:val="0"/>
                <w:szCs w:val="21"/>
              </w:rPr>
              <w:t>二、商务需求</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71" w:hRule="atLeast"/>
          <w:jc w:val="center"/>
        </w:trPr>
        <w:tc>
          <w:tcPr>
            <w:tcW w:w="1813" w:type="dxa"/>
            <w:gridSpan w:val="2"/>
            <w:tcBorders>
              <w:top w:val="single" w:color="auto" w:sz="4" w:space="0"/>
              <w:left w:val="single" w:color="auto" w:sz="4" w:space="0"/>
              <w:bottom w:val="single" w:color="auto" w:sz="4" w:space="0"/>
              <w:right w:val="single" w:color="auto" w:sz="4" w:space="0"/>
            </w:tcBorders>
            <w:vAlign w:val="center"/>
          </w:tcPr>
          <w:p>
            <w:pPr>
              <w:autoSpaceDE w:val="0"/>
              <w:autoSpaceDN w:val="0"/>
              <w:adjustRightInd w:val="0"/>
              <w:spacing w:line="360" w:lineRule="auto"/>
              <w:jc w:val="left"/>
              <w:rPr>
                <w:rFonts w:ascii="宋体" w:hAnsi="宋体" w:cs="宋体"/>
                <w:kern w:val="0"/>
                <w:szCs w:val="21"/>
              </w:rPr>
            </w:pPr>
            <w:r>
              <w:rPr>
                <w:rFonts w:hint="eastAsia" w:ascii="宋体" w:hAnsi="宋体"/>
                <w:szCs w:val="21"/>
              </w:rPr>
              <w:t>服务期限及地点</w:t>
            </w:r>
          </w:p>
        </w:tc>
        <w:tc>
          <w:tcPr>
            <w:tcW w:w="7396" w:type="dxa"/>
            <w:gridSpan w:val="4"/>
            <w:tcBorders>
              <w:top w:val="single" w:color="auto" w:sz="4" w:space="0"/>
              <w:left w:val="single" w:color="auto" w:sz="4" w:space="0"/>
              <w:bottom w:val="single" w:color="auto" w:sz="4" w:space="0"/>
              <w:right w:val="single" w:color="auto" w:sz="4" w:space="0"/>
            </w:tcBorders>
            <w:vAlign w:val="center"/>
          </w:tcPr>
          <w:p>
            <w:pPr>
              <w:autoSpaceDE w:val="0"/>
              <w:autoSpaceDN w:val="0"/>
              <w:adjustRightInd w:val="0"/>
              <w:spacing w:line="360" w:lineRule="auto"/>
              <w:jc w:val="left"/>
              <w:rPr>
                <w:rFonts w:ascii="宋体" w:hAnsi="宋体" w:cs="宋体"/>
                <w:kern w:val="0"/>
                <w:szCs w:val="21"/>
              </w:rPr>
            </w:pPr>
            <w:r>
              <w:rPr>
                <w:rFonts w:ascii="宋体" w:hAnsi="宋体" w:cs="宋体"/>
                <w:kern w:val="0"/>
                <w:szCs w:val="21"/>
              </w:rPr>
              <w:t>1</w:t>
            </w:r>
            <w:r>
              <w:rPr>
                <w:rFonts w:hint="eastAsia" w:ascii="宋体" w:hAnsi="宋体" w:cs="宋体"/>
                <w:kern w:val="0"/>
                <w:szCs w:val="21"/>
              </w:rPr>
              <w:t>、服务期限：</w:t>
            </w:r>
            <w:r>
              <w:rPr>
                <w:rFonts w:hint="eastAsia" w:ascii="宋体" w:hAnsi="宋体" w:cs="宋体"/>
                <w:kern w:val="0"/>
                <w:szCs w:val="21"/>
                <w:lang w:val="en-US" w:eastAsia="zh-CN"/>
              </w:rPr>
              <w:t>合同签定之日起1年</w:t>
            </w:r>
            <w:r>
              <w:rPr>
                <w:rFonts w:hint="eastAsia" w:ascii="宋体" w:hAnsi="宋体" w:cs="宋体"/>
                <w:kern w:val="0"/>
                <w:szCs w:val="21"/>
              </w:rPr>
              <w:t>。</w:t>
            </w:r>
          </w:p>
          <w:p>
            <w:pPr>
              <w:autoSpaceDE w:val="0"/>
              <w:autoSpaceDN w:val="0"/>
              <w:adjustRightInd w:val="0"/>
              <w:spacing w:line="360" w:lineRule="auto"/>
              <w:jc w:val="left"/>
              <w:rPr>
                <w:rFonts w:ascii="宋体" w:hAnsi="宋体" w:cs="宋体"/>
                <w:kern w:val="0"/>
                <w:szCs w:val="21"/>
              </w:rPr>
            </w:pPr>
            <w:r>
              <w:rPr>
                <w:rFonts w:hint="eastAsia" w:ascii="宋体" w:hAnsi="宋体" w:cs="宋体"/>
                <w:kern w:val="0"/>
                <w:szCs w:val="21"/>
              </w:rPr>
              <w:t>2、服务地点：广西中医药大学仙葫校区、明秀校区。</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21" w:hRule="atLeast"/>
          <w:jc w:val="center"/>
        </w:trPr>
        <w:tc>
          <w:tcPr>
            <w:tcW w:w="1813" w:type="dxa"/>
            <w:gridSpan w:val="2"/>
            <w:tcBorders>
              <w:top w:val="single" w:color="auto" w:sz="4" w:space="0"/>
              <w:left w:val="single" w:color="auto" w:sz="4" w:space="0"/>
              <w:bottom w:val="single" w:color="auto" w:sz="4" w:space="0"/>
              <w:right w:val="single" w:color="auto" w:sz="4" w:space="0"/>
            </w:tcBorders>
            <w:vAlign w:val="center"/>
          </w:tcPr>
          <w:p>
            <w:pPr>
              <w:autoSpaceDE w:val="0"/>
              <w:autoSpaceDN w:val="0"/>
              <w:adjustRightInd w:val="0"/>
              <w:spacing w:line="360" w:lineRule="auto"/>
              <w:jc w:val="left"/>
              <w:rPr>
                <w:rFonts w:ascii="宋体" w:hAnsi="宋体" w:cs="宋体"/>
                <w:kern w:val="0"/>
                <w:szCs w:val="21"/>
              </w:rPr>
            </w:pPr>
            <w:r>
              <w:rPr>
                <w:rFonts w:hint="eastAsia" w:ascii="宋体" w:hAnsi="宋体" w:cs="宋体"/>
                <w:kern w:val="0"/>
                <w:szCs w:val="21"/>
              </w:rPr>
              <w:t>付款</w:t>
            </w:r>
            <w:r>
              <w:rPr>
                <w:rFonts w:hint="eastAsia" w:ascii="宋体" w:hAnsi="宋体"/>
                <w:szCs w:val="21"/>
              </w:rPr>
              <w:t>条件</w:t>
            </w:r>
          </w:p>
        </w:tc>
        <w:tc>
          <w:tcPr>
            <w:tcW w:w="7396" w:type="dxa"/>
            <w:gridSpan w:val="4"/>
            <w:tcBorders>
              <w:top w:val="single" w:color="auto" w:sz="4" w:space="0"/>
              <w:left w:val="single" w:color="auto" w:sz="4" w:space="0"/>
              <w:bottom w:val="single" w:color="auto" w:sz="4" w:space="0"/>
              <w:right w:val="single" w:color="auto" w:sz="4" w:space="0"/>
            </w:tcBorders>
            <w:vAlign w:val="center"/>
          </w:tcPr>
          <w:p>
            <w:pPr>
              <w:spacing w:line="400" w:lineRule="exact"/>
              <w:ind w:firstLine="420" w:firstLineChars="200"/>
              <w:rPr>
                <w:rFonts w:ascii="宋体" w:hAnsi="宋体" w:eastAsia="宋体" w:cs="宋体"/>
                <w:kern w:val="1"/>
                <w:szCs w:val="21"/>
              </w:rPr>
            </w:pPr>
            <w:r>
              <w:rPr>
                <w:rFonts w:hint="eastAsia" w:ascii="宋体" w:hAnsi="宋体" w:eastAsia="宋体" w:cs="宋体"/>
                <w:kern w:val="1"/>
                <w:szCs w:val="21"/>
              </w:rPr>
              <w:t>合同约定时间完成任务，采购人在</w:t>
            </w:r>
            <w:r>
              <w:rPr>
                <w:rFonts w:hint="eastAsia" w:ascii="宋体" w:hAnsi="宋体" w:eastAsia="宋体" w:cs="宋体"/>
                <w:kern w:val="1"/>
                <w:szCs w:val="21"/>
                <w:lang w:val="en-US" w:eastAsia="zh-CN"/>
              </w:rPr>
              <w:t>项目完成并验收通过后2个月</w:t>
            </w:r>
            <w:r>
              <w:rPr>
                <w:rFonts w:hint="eastAsia" w:ascii="宋体" w:hAnsi="宋体" w:eastAsia="宋体" w:cs="宋体"/>
                <w:kern w:val="1"/>
                <w:szCs w:val="21"/>
              </w:rPr>
              <w:t>内</w:t>
            </w:r>
            <w:r>
              <w:rPr>
                <w:rFonts w:hint="eastAsia" w:ascii="宋体" w:hAnsi="宋体" w:eastAsia="宋体" w:cs="宋体"/>
                <w:kern w:val="1"/>
                <w:szCs w:val="21"/>
                <w:lang w:eastAsia="zh-CN"/>
              </w:rPr>
              <w:t>，</w:t>
            </w:r>
            <w:r>
              <w:rPr>
                <w:rFonts w:hint="eastAsia" w:ascii="宋体" w:hAnsi="宋体" w:eastAsia="宋体" w:cs="宋体"/>
                <w:kern w:val="1"/>
                <w:szCs w:val="21"/>
              </w:rPr>
              <w:t>凭</w:t>
            </w:r>
            <w:r>
              <w:rPr>
                <w:rFonts w:hint="eastAsia" w:ascii="宋体" w:hAnsi="宋体" w:eastAsia="宋体" w:cs="宋体"/>
                <w:kern w:val="1"/>
                <w:szCs w:val="21"/>
                <w:lang w:eastAsia="zh-CN"/>
              </w:rPr>
              <w:t>服务</w:t>
            </w:r>
            <w:r>
              <w:rPr>
                <w:rFonts w:hint="eastAsia" w:ascii="宋体" w:hAnsi="宋体" w:eastAsia="宋体" w:cs="宋体"/>
                <w:kern w:val="1"/>
                <w:szCs w:val="21"/>
              </w:rPr>
              <w:t>商开具的</w:t>
            </w:r>
            <w:r>
              <w:rPr>
                <w:rFonts w:hint="eastAsia" w:ascii="宋体" w:hAnsi="宋体" w:eastAsia="宋体" w:cs="宋体"/>
                <w:kern w:val="1"/>
                <w:szCs w:val="21"/>
                <w:lang w:eastAsia="zh-CN"/>
              </w:rPr>
              <w:t>上月</w:t>
            </w:r>
            <w:r>
              <w:rPr>
                <w:rFonts w:hint="eastAsia" w:ascii="宋体" w:hAnsi="宋体" w:eastAsia="宋体" w:cs="宋体"/>
                <w:kern w:val="1"/>
                <w:szCs w:val="21"/>
              </w:rPr>
              <w:t>发票</w:t>
            </w:r>
            <w:r>
              <w:rPr>
                <w:rFonts w:hint="eastAsia" w:ascii="宋体" w:hAnsi="宋体" w:eastAsia="宋体" w:cs="宋体"/>
                <w:kern w:val="1"/>
                <w:szCs w:val="21"/>
                <w:lang w:eastAsia="zh-CN"/>
              </w:rPr>
              <w:t>以及相应条款凭证</w:t>
            </w:r>
            <w:r>
              <w:rPr>
                <w:rFonts w:hint="eastAsia" w:ascii="宋体" w:hAnsi="宋体" w:eastAsia="宋体" w:cs="宋体"/>
                <w:kern w:val="1"/>
                <w:szCs w:val="21"/>
              </w:rPr>
              <w:t>，</w:t>
            </w:r>
            <w:r>
              <w:rPr>
                <w:rFonts w:hint="eastAsia" w:ascii="宋体" w:hAnsi="宋体" w:eastAsia="宋体" w:cs="宋体"/>
                <w:kern w:val="1"/>
                <w:szCs w:val="21"/>
                <w:lang w:eastAsia="zh-CN"/>
              </w:rPr>
              <w:t>支付</w:t>
            </w:r>
            <w:r>
              <w:rPr>
                <w:rFonts w:hint="eastAsia" w:ascii="宋体" w:hAnsi="宋体" w:eastAsia="宋体" w:cs="宋体"/>
                <w:kern w:val="1"/>
                <w:szCs w:val="21"/>
              </w:rPr>
              <w:t>服务费用。</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21" w:hRule="atLeast"/>
          <w:jc w:val="center"/>
        </w:trPr>
        <w:tc>
          <w:tcPr>
            <w:tcW w:w="9209" w:type="dxa"/>
            <w:gridSpan w:val="6"/>
            <w:tcBorders>
              <w:top w:val="single" w:color="auto" w:sz="4" w:space="0"/>
              <w:left w:val="single" w:color="auto" w:sz="4" w:space="0"/>
              <w:bottom w:val="single" w:color="auto" w:sz="4" w:space="0"/>
              <w:right w:val="single" w:color="auto" w:sz="4" w:space="0"/>
            </w:tcBorders>
            <w:vAlign w:val="center"/>
          </w:tcPr>
          <w:p>
            <w:pPr>
              <w:autoSpaceDE w:val="0"/>
              <w:autoSpaceDN w:val="0"/>
              <w:adjustRightInd w:val="0"/>
              <w:spacing w:line="360" w:lineRule="auto"/>
              <w:jc w:val="left"/>
              <w:rPr>
                <w:rFonts w:ascii="宋体" w:hAnsi="宋体" w:cs="宋体"/>
                <w:kern w:val="0"/>
                <w:szCs w:val="21"/>
              </w:rPr>
            </w:pPr>
            <w:r>
              <w:rPr>
                <w:rFonts w:hint="eastAsia" w:ascii="宋体" w:hAnsi="宋体" w:cs="TimesNewRomanPSMT"/>
                <w:b/>
                <w:kern w:val="0"/>
                <w:szCs w:val="21"/>
              </w:rPr>
              <w:t>三、其他要求</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33" w:hRule="atLeast"/>
          <w:jc w:val="center"/>
        </w:trPr>
        <w:tc>
          <w:tcPr>
            <w:tcW w:w="1813" w:type="dxa"/>
            <w:gridSpan w:val="2"/>
            <w:tcBorders>
              <w:top w:val="single" w:color="auto" w:sz="4" w:space="0"/>
              <w:left w:val="single" w:color="auto" w:sz="4" w:space="0"/>
              <w:bottom w:val="single" w:color="auto" w:sz="4" w:space="0"/>
              <w:right w:val="single" w:color="auto" w:sz="4" w:space="0"/>
            </w:tcBorders>
            <w:vAlign w:val="center"/>
          </w:tcPr>
          <w:p>
            <w:pPr>
              <w:autoSpaceDE w:val="0"/>
              <w:autoSpaceDN w:val="0"/>
              <w:adjustRightInd w:val="0"/>
              <w:spacing w:line="360" w:lineRule="auto"/>
              <w:jc w:val="left"/>
              <w:rPr>
                <w:rFonts w:ascii="宋体" w:hAnsi="宋体" w:cs="TimesNewRomanPSMT"/>
                <w:kern w:val="0"/>
                <w:szCs w:val="21"/>
              </w:rPr>
            </w:pPr>
          </w:p>
        </w:tc>
        <w:tc>
          <w:tcPr>
            <w:tcW w:w="7396" w:type="dxa"/>
            <w:gridSpan w:val="4"/>
            <w:tcBorders>
              <w:top w:val="single" w:color="auto" w:sz="4" w:space="0"/>
              <w:left w:val="single" w:color="auto" w:sz="4" w:space="0"/>
              <w:bottom w:val="single" w:color="auto" w:sz="4" w:space="0"/>
              <w:right w:val="single" w:color="auto" w:sz="4" w:space="0"/>
            </w:tcBorders>
            <w:vAlign w:val="center"/>
          </w:tcPr>
          <w:p>
            <w:pPr>
              <w:keepNext w:val="0"/>
              <w:keepLines w:val="0"/>
              <w:widowControl/>
              <w:suppressLineNumbers w:val="0"/>
              <w:jc w:val="left"/>
              <w:textAlignment w:val="bottom"/>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一、课程知识图谱框架设计</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1.课程基本要求</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 xml:space="preserve">   供应商按要求对建设课程进行需求分析，结合学校办学定位和专业培养目标，建设完成课程内容体系设计梳理，重构课程，按建设标准完成 4门课程的知识图谱建设。以上课程需包含课程规划、运行、推广等服务，对课程进行知识图谱设计，并协助教师完成知识图谱建设，教师团队需参与知识图谱的建设工作，由供应商提供知识图谱的平台及服务支持。</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2.课程知识图谱框架设计</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（1）支持搭建知识图谱、问题图谱、目标图谱三层图谱框架，知识图谱模式支持大纲模式、思维导图模式、图谱模式3种形态。</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2）目标图谱：支持基于专业培养方案，将课程的能力目标与毕业要求关联，支持设置课程目标并与知识点关联，每门课程设定清晰的课程目标，形成知识点-课程目标-毕业要求关联体系，形成能力画像，包含能力名称、能力详情、关联问题、关联主题、关联知识点等。</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3）问题图谱：支持指向高阶思维与能力提升的问题图谱创建，从高阶目标出发，通过基本问题、组合问题和疑难问题的设置，通过问题间的逻辑关系，将三层问题体系相关联，通过建设完整的问题体系及关联的问题描述、问题标签，关联知识点，形成基于问题的学习路径，引导学生从知识吸收到应用创造的能力提升。</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4）知识图谱：支持设置课程里的全部知识点及其属性、知识点之间的关联关系，知识点需要覆盖整门课程理论知识体系，用知识点掌握率考察目标达成度。支持通过大纲视图、思维导图视图、图谱视图3种形式呈现知识图谱。</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3.知识点梳理</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知识点是知识图谱的基本构成单位，是教学活动中传递教学信息的基本单元。知识图谱的梳理要服务于实际的教学活动，要符合教师的教学思路；知识图谱要符合揭示课程内在的逻辑结构。</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（1）知识点内容和数量确定</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支持根据课程教学目标和教学形式的要求设计和提取知识点，有相对完整的内容和教学设计，能组成适于教学的基本单元；支持结合学校定位、专业与课程目标，在符合课程统一标准的前提下，对重构后的课程内容拆分知识点，并根据课程特点和教学要求调整知识点的颗粒度，在原有课程基础上2年内可免费升级课程增加知识点数量。</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（2）知识点的命名规范</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支持对知识点进行准确命名。知识点名称要具有具体含义，知识点的命名要标准化、术语化，能够合理概括教学内容，知识点不能太琐碎，一般是词汇。</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（3）知识点的类别标注</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支持对知识点的类别进行以下标注：①事实性知识②概念性知识③程序性知识④元认知知识。</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（4）知识点的认知维度设定</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在认知领域中，教学的主要目的和任务就是使学生掌握知识，形成运用知识进行理性的、系统思维的能力。在知识图谱课程中，需要支持对每个知识点的认知维度作出明确标注，制定双向细目表，使教学更精准。知识点的教学目标设定需根据布鲁姆的教学目标结合本校教师、课程和学生特点设定、标注，应包含记忆、理解、应用、分析、评价、创造六个维度，并支持基于认知维度查看学生学习画像。</w:t>
            </w:r>
          </w:p>
          <w:p>
            <w:pPr>
              <w:keepNext w:val="0"/>
              <w:keepLines w:val="0"/>
              <w:widowControl/>
              <w:suppressLineNumbers w:val="0"/>
              <w:jc w:val="left"/>
              <w:textAlignment w:val="bottom"/>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二、知识图谱创建和管理</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1.知识图谱框架管理</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（1）支持建立以学校的教务课程-知识点为体系的知识点架构进行后台知识图谱框架管理；</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（2）支持对教务课程的课程类别、课程性质进行增删改查管理；</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（3）支持按照学校不同专业关联不同的课程，生成学科知识图谱；</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（4）支持为网络课程和教务课程建立独立的知识图谱，便于统一管理。</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2.课程知识图谱创建</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（1）支持知识点多层级架构建立，生成子父级知识点关系；</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2）支持手动添加、批量导入等方式构建知识图谱；批量导入需支持填写知识点名称、标签信息、认知维度、分类属性、教学目标、知识点说明等信息数据；手动编辑需支持单个或批量修改知识点属性编辑，可批量或单独对当前知识点进行移动。</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（3）支持智能导入，用户上传课程大纲、教材等，系统智能识别构建生成知识图谱；</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（4）支持本地导入xmind格式的思维导图文件，自动读取文件数据，生成课程知识图谱，并能够导出xmind格式文件。</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（5）支持教务课程和网络课程知识图谱互相同步调用；</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（6）支持课程章节一件转化生成知识图谱，并同时进行资源关联。</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（7）创建图谱支持同步其他课程图谱，支持全量同步或者部分选择同步。</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(8)支持教师根据课程属性设定是否显示课程中心点；</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(9)知识图谱知识点支持说明添加，可添加富文本编辑框、公式编辑等富媒体文本；</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(10)支持与教学平台打通，可通过教学平台现有课程章节选择生成</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(11)支持知识图谱自定义编辑功能，系统提供至少8种图谱形态，用户可根据课程性质选择合适的图谱形态进行编辑；章节图谱</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(12)支持知识图谱自定义颜色设定，可根据具体要求进行图谱知识点颜色的设定；同时支持图谱知识点自定义文字颜色及大小设置。</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(13)具备批量编辑图谱知识点功能，可实现批量对知识图谱知识点进行编辑修改；大纲模式下可实现对知识点进行批量全选设置；</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(14)具备任意拖动功能，可实现对知识图谱知识点的单个节点进行拖动，也可实现对整个知识图谱集合进行拖动</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(15)具备知识图谱门户系统，能够提供对应的知识图谱门户模板，可展示课程介绍、知识图谱、知识关系、目标图谱、问题图谱及知识图谱相关统计功能，能够与教学平台互通互联；</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（16）支持对接公共慕课平台，支持按期次继承知识图谱功能。</w:t>
            </w:r>
          </w:p>
          <w:p>
            <w:pPr>
              <w:keepNext w:val="0"/>
              <w:keepLines w:val="0"/>
              <w:widowControl/>
              <w:suppressLineNumbers w:val="0"/>
              <w:jc w:val="left"/>
              <w:textAlignment w:val="bottom"/>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3.课程知识图谱管理</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（1）支持知识点之间进行前置关系、后置关系、关联关系的设置；</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（2）支持关联关系自定义，可进行添加描述并显示在图谱页面；</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（3）支持给知识点打标签，自定义标签内容，支持同一个支持点标记多个标签；</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（4）支持引用后台教务课程的知识图谱先进行审核，审核通过才允许引用，并记录引用次数；</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（5）支持教师调整知识点在课程空间菜单栏的显示顺序；</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（6）跨课知识点支持用户通过点击实现一键跳转。</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（7）支持点击知识点后，其父级知识点节点高亮显示。</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（8）支持对已删除知识点资源的实时更新。</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（9）具备附加标签功能，能够实现知识点的分类和标识，支持知识点设定重点、难点以及考点等标签，同时支持用户自定义标签名称。</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（10）支持知识点被赋予多种分类属性，包括事实性、概念性、程序性、元认知等。</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4.课程知识图谱展示</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（1）系统支持根据知识树的关联关系，自动生成知识图谱；并在图谱页面以连线节点方式进行展示；</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（2）支持按照知识点的关系属性（父子、关联、前后置关系）联动筛选；</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（3）支持按照知识点和标签两个维度进行知识点的筛选查看；</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（4）支持教师端显示知识点统计卡片，点击对应知识点可以查看知识图谱建设情况以及学生学习情况；</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（5）支持智能生成学科/专业知识图谱，直观展示课程的点以及跨课程的知识点相关关系帮助交叉学科以及整合课程的发现与规划；</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（6）支持知识图谱的显示展开收起功能，默认显示父级知识点，点击显示子级知识点；</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（7）教师端在图谱上支持显示所有知识点的综合统计情况卡片；</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（8）持显示教师端自定义图谱样式，并进行配色方案切换展示。</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（9）具备层级筛选功能，支持用户通过层级筛选查看相关知识点，方便用户对支持点的查看；</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（10）支持通过标签、层级、认知维度、分类等多维度知识属性筛选知识图谱进行展示，通知支持是否显示管理关系；</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（11）具备图谱模式导出功能，支持导出当前图谱显示结果，也可通过筛选检索后导出对应结果页面；</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12）支持思维导图模式展示图谱内容，支持切换不同的结构形式查看以及检索知识点快速查找；同时思维导图支持编辑模式，可进行操作的回退前进，知识点的增删改，以及属性编辑；支持教师和学生在思维导图模式下查看知识点概览卡片，包括知识概况、关联资源、关联试题、平均完成率、平均掌握率以及知识点分析等教学统计数据查看；</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（13）支持大纲模式展示图谱内容，支持添加子级知识点，可以进行知识点关系的管理，支持编辑标签属性，支持以Excel形式输出图谱内容；</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（14）图谱模式支持集合显示标识，支持用户自定义集合标识。</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15）问题图谱模块，支持教师进行问题图谱建设（支持自定义名称及描述），添加问题卡片，同一层级的卡片支持拖动移动，拖动连线串联及删除连接等快捷操作，同时可进行标签以及知识点的关联关系建立；支持查看此问题关联的知识点小图谱，基于问题支线进行知识串联，能更好的进行同一问题场景下的知识学习。支持用户通过模板编辑问题图谱数据，以及导出线上的问题图谱数据。</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16）目标图谱模块，支持后台编辑的课程目标中选取所需的课程目标进行添加，将目标与知识点关联，便于用户以成果导向进行学习。课程达成度、课程目标达成度、课程目标关联知识点个数，统计数据可视化，便于用户快捷查看学习进程。</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（17）课程知识图谱门户支持自定义显隐控制，可对课程体系、知识图谱、知识关系等进行自定义显隐设置。</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（18）知识点详情页，支持章节、课程资料、试题等资料的预览；</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（19）支持问题图谱开启探索模式，支持问题图谱讨论区创建话题。</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（20）提供多种图谱展示形式，包括导航模式、全局模式等，以适应不同用户对信息获取深度和广度的需求。</w:t>
            </w:r>
          </w:p>
          <w:p>
            <w:pPr>
              <w:keepNext w:val="0"/>
              <w:keepLines w:val="0"/>
              <w:widowControl/>
              <w:suppressLineNumbers w:val="0"/>
              <w:jc w:val="left"/>
              <w:textAlignment w:val="bottom"/>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三、知识图谱的应用</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1.资源管理</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（1）支持批量对课程资料标记知识点；</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（2）支持按知识点上传资源，并查看知识点关联资源数量，方便教师按知识点管理资源；</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（3）知识点卡片需具备资料添加功能，可通过添加资料关联建设知识点下相关课程资料及其他相关资源。</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2.题库管理</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（1）支持多种题型的创建管理，包括单选、多选、填空、判断、简答、名词解析、论述、计算、分录、连线、排序、完形填空、阅读理解、口语、听力等常见题型；</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（2）支持在创建或编辑题目时标记每道题对应的知识点标签，并支持按知识点筛选管理题目；</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（3）支持按模板批量导入题目时导入题目知识点；</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（4）支持批量编辑题目关联知识点；</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（5）支持错题显示解析以及相关知识点并支持点击跳转知识点学习页面进行自适应学习；</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（6）题目关联知识点操作时系统支持智能推荐知识点，便于教师快速进行关联操作；</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（7）支持通过知识卡片直接添加当前知识点相关题目。</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3.作业管理</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支持创建作业，添加题目打知识点标签，也支持从题库抽题按知识点抽题，组建带有知识点的作业发放给学生作答。</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4.考试管理</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需支持手动组建考试试卷和智能组卷可以按知识点抽题，组建带有知识点的试卷发放给学生考试。</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5.学生端知识点学习</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(1)支持学生查看课程知识图谱，并查看每个知识点的学习进度情况；</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(2)支持学生按知识点进行课程任务学习，观看课程视频，阅读课程资料等；</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(3)支持学生提交作业、考试，查看自己作答作业、考试题目的知识点掌握情况，并查看知识点推荐资源，巩固学习；</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(4)支持学生按知识点从题库或错题本抽题，逐题自测。</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(5)支持学生自测时可以设置抽题范围，仅抽当前知识点以及前置知识点的题，避免抽到未开始学习的知识点试题；</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(6)图谱页面支持多维度筛选以及配色方案的切换；便于更直观的查看各个知识点不同维度的学习情况。</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(7)学生图谱界面具备标准模式和导航模式，学生可选择具体的模式开展图谱学习。</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(8)学生图谱界面支持学生通过多维度检索知识点，包括标签、层级、认知维度、分类、及具体知识点的内容的检索。</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（9）学生图谱界面知识点详情页面支持url、笔记、文档等类型资料预览。</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（10）通过知识图谱的形式，用颜色区分来展示知识点的完成度和掌握度，让数据的呈现更加生动和直观。</w:t>
            </w:r>
          </w:p>
          <w:p>
            <w:pPr>
              <w:keepNext w:val="0"/>
              <w:keepLines w:val="0"/>
              <w:widowControl/>
              <w:suppressLineNumbers w:val="0"/>
              <w:jc w:val="left"/>
              <w:textAlignment w:val="bottom"/>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四、知识图谱统计与分析</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1.教师端知识图谱统计</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（1）教师端具备统计卡片功能，可通过卡片直接进入图谱统计分析，统计卡片需支持多维度概况数据统计及详情统计查看。</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（2）支持教师查看班级整体知识点分析统计，查看知识点平均完成率、平均掌握率、完成率分布和掌握率分布等；</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（3）支持按知识点查看每个知识点的关联学习资源数、平均完成率、平均掌握率、课程资料数、课程资料人均阅读情况等；</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（4）支持查看班级下每个学生的知识点平均完成情况、平均掌握情况、课程资料阅读情况等；</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（5）支持查看某一位学生的每个知识点的详情统计，包括每个知识点的完成情况、掌握情况、课程资料阅读情况等；</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(6)支持自定义变量进行统计，系统自动输出图谱或散点图；</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(7)支持单位管理员查看课程图谱建设情况，包括知识点的数量及单位下开通知识图谱情况统计。</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2.学生端知识图谱统计</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（1）支持学生查看本人的知识点统计分析，包括每个知识点的完成情况、掌握情况、课程资料阅读情况等；</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（2）支持学生查看自己单个知识点的统计分析详情和推荐资源，包括此知识点的完成情况、掌握情况、知识点关联的学习任务完成详情等；</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3.知识图谱智能路径规划与资源推荐</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（1）支持学生查看基于知识点的智能学习路径，系统根据学生知识点掌握情况，智能规划知识点学习路径，学生可以按学习路径进行知识点的学习和巩固。</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（2）支持按照知识点，系统智能推荐拓展资源给学生学习；</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（3）支持推荐课内资源（教师关联的资源）校内平台资源（专业资源库，便于学校平台的资源聚合），提供图书、期刊、报纸、视频资源，并支持一键添加关联。</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五、思政知识图谱</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 xml:space="preserve"> 1.支持自动根据现有的图谱信息生成思政图谱的功能。</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2.支持将标签为“课程思政”的知识点以花苞形式呈现，以视觉突出其在课程中的核心地位；</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3.支持提供关键字精确搜索和模糊匹配两种模式，检索结果聚焦于与目标节点相关的逻辑联系，增强搜索的针对性；</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4.支持搜索功能覆盖知识点、分类和标签，实现全面性，满足用户不同维度的搜索需求；</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5.支持通过点击操作，可深入分类卡片获取详细信息，或直接跳转至微课进行学习，实现知识获取的快速通道。</w:t>
            </w:r>
          </w:p>
          <w:p>
            <w:pPr>
              <w:keepNext w:val="0"/>
              <w:keepLines w:val="0"/>
              <w:widowControl/>
              <w:suppressLineNumbers w:val="0"/>
              <w:jc w:val="left"/>
              <w:textAlignment w:val="bottom"/>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六、问题图谱</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1.问题图谱-教师端</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(1）系统提供对疑难、组合及基本问题的定义能力，允许用户添加问题详情及其与知识点的关联；</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(2)用户可根据教学需求，自定义栏目标题和描述，以适应多样化的教学情境；</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(3)支持通过图谱形式展现问题与知识点的关联，使用户能够直观理解知识间的联系；</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(4)支持用户对栏目中节点的名称、描述、标签和知识点进行修改，保持内容的时效性和准确性；</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(5)提供两种子级问题关联方式，包括层级连线和板块关联功能，以展示问题间的层级结构；</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(6)支持对问题板块的删除和批量删除，提升问题管理的效；</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(7)支持批量导入问题数据和一键导出问题图谱数据，简化教学资源的准备工作；</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(8)提供一键展开或收起问题层级连线的功能，便于用户查看问题结构；</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（9）支持开启探索模式，模拟学生学习路径，通过问题选择和知识点关联，促进学生的深入思考；</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（10）在探索模式中，用户被引导将核心问题与子问题连接，形成知识网络，并通过提交与标准答案对比，实现自我评估；</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（11）系统支持用户在问题图谱讨论区发起新话题，激发学生参与讨论，通过交流深化理解，促进知识共享。</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2.问题图谱-学生端</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（1）支持用户识别并连接主线问题与子级问题，构建问题之间的层级关系，加深对问题网络的理解；</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（2）用户完成问题解答后，可以提交答案获得反馈，系统提供与标准答案的对比，辅助学生发现差异，掌握正确解题方法；</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（3）用户可在讨论区发起新话题，分享个人见解和疑问，促进知识的交流与共享；</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（4）支持用户对讨论区中的话题进行点赞和回复，增强社区的参与感和互动性，建立积极的学习氛围。</w:t>
            </w:r>
          </w:p>
          <w:p>
            <w:pPr>
              <w:keepNext w:val="0"/>
              <w:keepLines w:val="0"/>
              <w:widowControl/>
              <w:suppressLineNumbers w:val="0"/>
              <w:jc w:val="left"/>
              <w:textAlignment w:val="bottom"/>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七、目标图谱</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1.目标图谱-教师端</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(1)系统允许根据不同班级特点定制课程目标，以满足特定教学需求；</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(2)课程目标标签系统支持为课程目标添加标签，包括自定义选项，便于目标的分类和识别；</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(3)支持对课程目标进行详细说明，以确保目标清晰明确；</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(4)支持对课程目标名称、课程目标标签、描述进行修改，保持课程内容的准确性和时效性；</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(5)支持检索课程目标标签以及课程目标名称，使用户能够快速找到特定目标；</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(6)支持课程目标与知识点进行关联，以展示目标与教学内容的直接联系；</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(7)支持以柱状图展示课程目标关联知识点的个数，提供直观的统计信息；</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(8)支持以列表形式展示课程目标总数、课程目标名称、课程目标说明、课程目标标签以及所关联的知识点个数，方便用户快速浏览和了解；</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(9)支持以图谱形式展示每个课程目标所关联的知识点情况，增强信息的可视化效果；</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(10)提供一键同步功能，允许快速复制特定班级的课程目标和知识点关联，提高教学管理的效率。</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2.目标图谱-学生端</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(1）支持通过柱状图形式直观展示课程目标与知识点的关联数量，提供清晰的统计视角；</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(2)支持以列表形式综合呈现课程目标的关键信息，包括总数、名称、说明、标签及知识点关联数，便于用户快速把握课程结构；</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(3)支持利用图谱形式展现课程目标与知识点之间的关联，增强信息的视觉呈现和认知深度。</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八、大纲模式</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1.支持以清晰的列表形式呈现分类与知识点之间的层级架构，体现它们之间的逻辑和组织关系；</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2.利用标签系统对知识点和分类进行属性区分和标记，增强用户识别和分类的能力；</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3.提供功能以Excel形式输出分类和知识点的层级结构，包括节点间的前后关联、标签、分类属性、教学目标和节点说明，以便于记录和分析。</w:t>
            </w:r>
          </w:p>
          <w:p>
            <w:pPr>
              <w:keepNext w:val="0"/>
              <w:keepLines w:val="0"/>
              <w:widowControl/>
              <w:suppressLineNumbers w:val="0"/>
              <w:jc w:val="left"/>
              <w:textAlignment w:val="bottom"/>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九、任务引擎设计</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1.能力导向的任务设计</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供应商能根据教学团队需求协助教师设计课程任务，课程任务类型不限，如项目任务、问题驱动任务、实践任务等，帮助老师掌握基于任务引擎创设学生为中心、高阶能力培养为导向的综合任务设计，体现教学模式，同时激发学生的学习兴趣，培养解决实际问题的能力并强化跨学科融合与协作学习，鼓励学生通过团队合作解决复杂问题，提升综合素养。</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2.任务功能模块配置</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2.1支持新建、编辑、发布、管理和删除任务，并针对任务数据进行自定义排序、指定、创建文件夹进行归纳；支持跳转AI任务页面AI生成任务，提高老师任务创建效率。任务引擎支持按照章节，教案，文本三种方式AI生成任务基本信息和任务点内容，简化老师任务设计工作，提高任务的建设质量。</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2.2支持点击新建任务，跳转至任务编辑页面，进行基本信息编辑和任务设计工作；支持编辑任务基本信息，包括任务名称、任务封面、任务介绍和选择任务标签，任务标签支持对接数据源，按照单位设置展示标签内容；支持切换标签页跳转任务设计页面，添加分组，添加任务点和设置闯关达标条件；</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 xml:space="preserve">2.3支持在任务的分组下添加任务点，任务点类型包括：视频，文档（笔记），课程，章节，知识点，线下课堂，线上课堂，主题讨论，AI实践，作业，测验，自测，问卷，审批，任务，自定义等17种类型；支持直接添加当前课下资源和当前登录用户的其他课程资源到任务下，同时支持点击添加跳转到指定页面进行资源添加；      </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2.4支持在任务点上设置闯关条件，学生需要达到任务点设置的完成条件才能够学习下个任务点，不同类型任务点闯关条件不同；支持在任务分组上设置组间闯关条件，学生需要达到组间闯关设置的完成条件后才能够学习下个分组，不同类型任务点闯关条件不同；支持在任务设计上设置达标标准，学生完成达标标准后，整个任务学习完成，学生可以领取相应的任务达标证书；</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2.5针对视频、文档、线上课堂、线下课堂、主题讨论、问卷、审批、自定义类型任务点，增加“成绩”按钮，方便教师录入线下教学成绩；针对自定义类型任务点，增加“签到”按钮，方便老师发放签到给学生；</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2.6 任务中可插入PBL教学：支持开展分组教学活动，支持多种分组方式，包含固定分组、自选分组、组长建组、随机分组、面对面建组、不分组等分组方式；活动支持教师评价、组内评价、组间评价、自评等多种评价相结合，支持分项评分指标设置；课程成绩权重支持分组任务明细分配，不同活动可设置不同考核权重。</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2.7支持针对单个任务点设置“是否选学”开关，开启后学生可自主决定是否学习，同时学习成绩不作任务闯关和任务达标的参考项；支持针对任务点开启高阶闯关模式，使不同成绩学生后续学习的内容不一样，满足教师个性化教学的场景；任务引擎支持选课功能，支持教师选择部分资源作为任务包，学生选择部分任务点进行选择性学习；</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2.8支持评价功能，教师可设置评分权重/指标，评分方式等信息，学员提交任务点后，以学生自评，互评，教师评多种方式进行评价。</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2.9用户完成任务设计后，支持点击发布按钮，支持任务选择班级、分组、个人进行任务发布工作；支持任务克隆功能，支持克隆给自己和克隆给他人两种方式，提高任务的复用性；支持针对任务进行报名设置工作，教师可以选择开启报名，报名需要填写信息，报名需要审批三种方式，邀请学生报名任务，同时支持查看报名信息。</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2.10任务运行达成数据统计：学情分析页面展示学生、任务点数据和概览统计情况，方便教师一键明确学生和任务点的完成情况；支持督学，有督学和批量督学按钮，支持针对不满足学习进度的学生、单个学生、多个学生进行发放督学通知，督促学生学习</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2.11 提供移动端应用功能，教师可以通过移动端进行简单的任务管理工作；学生可以通过移动端进行任务学习、查看达标状态、查看证书的工作。</w:t>
            </w:r>
          </w:p>
          <w:p>
            <w:pPr>
              <w:keepNext w:val="0"/>
              <w:keepLines w:val="0"/>
              <w:widowControl/>
              <w:suppressLineNumbers w:val="0"/>
              <w:jc w:val="left"/>
              <w:textAlignment w:val="bottom"/>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十、AI工作台</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1.AI教案</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由AI协助教师生成教案，支持教师输入材料或文本指令，或选择在线课程章节，完成AI赋能以学生为中心的高阶教学设计。支持选择模板，选择教案风格等内容</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2.AI出题</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智能化基于选择的知识点，或上传的材料，或文本指令完成各类题目智能生成，含答案解析，可一键加入题库</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3.AI批阅</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可进行主观题AI智能批阅，能支持常规主观题、程序题、口语题等题型</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4.AI课件</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可根据需要智能生成PPT，提供多种模板、样式选择</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5.AI学情分析</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智能分析学情，提供各维度学生学习精准数据</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6.文献阅读</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可对长文档进行智能化解析，生成摘要、思维导图、智能生成内容相关测试题与答案</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7.超星翻译</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可上传文件进行双语翻译，可以划词翻译，可以精准定位</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8.视频理解</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可对长视频进行智能化解析，生成视频摘要、片段摘要及精准时间分割点；生成思维导图、中文字幕；智能生成内容相关测试题与答案</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9.作业查重</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对作业进行班级内对比相似度、全网对比相似度、对比是否AI撰写等，维护学术诚信</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10.公式识别</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智能识别数学等公式图片，转为可编辑的标准公式</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11.指令库编辑</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支持自主编辑指令库，实现基于AI互动的指令调用</w:t>
            </w:r>
          </w:p>
          <w:p>
            <w:pPr>
              <w:keepNext w:val="0"/>
              <w:keepLines w:val="0"/>
              <w:widowControl/>
              <w:suppressLineNumbers w:val="0"/>
              <w:jc w:val="left"/>
              <w:textAlignment w:val="bottom"/>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十一、AI助教部分</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1.课程专属大模型训练</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对接通用大模型，同时为课程创建专属知识库、问答库，并可进行智能学习，为课程训练专属模型</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2.AI启发互动助手</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以任务流方式，对学生提问进行“苏格拉底式”启发引导，而不是直接给出答案。支持老师自己配置任务流</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3.AI写作</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由AI技术提供在线课程章节AI写作，助力教师实时更新前沿内容与最新案例:</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4：AI校正</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由AI对在线课程文本进行实时智能校正，保障教学内容的准确性、规范性</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5：AI智能答疑</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根据问题，对接通用大模型及私有模型，提供智能答疑</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6：AI智能学习路径生成</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基于学生学情，智能生成个性化学习路径，呈现知识点先后学习逻辑关系，及每个知识点的掌握率</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7：AI智能推荐资源</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通过语音或文字互动，根据需要智能推送期刊、图书等资源</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8：AI智能调用应用</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 xml:space="preserve">可通过语音或文字与助教互动，调用平台功能。 </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9：AI智能调用课堂活动</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可通过电脑端语音唤醒助教，实现通过语音调用开启教学相关活动</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10：AI智能行为督促</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根据时间段给出不同的温馨提醒语，提供学习时间管理建议，激励学生保持学习动力。</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11：AI智能推荐薄弱知识点</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智能化依据错题推荐薄弱知识点</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12：AI智能生成错题集</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智能化生成错题集，使师生更明确薄弱点，如该题目已掌握，错题集自动清空</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13：AI智能审核</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针对课程内容，进行智能审核，列出有可能存在的政治性、科学性、知识产权等方面的内容，供老师修改</w:t>
            </w:r>
          </w:p>
          <w:p>
            <w:pPr>
              <w:keepNext w:val="0"/>
              <w:keepLines w:val="0"/>
              <w:widowControl/>
              <w:suppressLineNumbers w:val="0"/>
              <w:jc w:val="left"/>
              <w:textAlignment w:val="bottom"/>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十二、平台要求</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▲1.提供自主开发的云盘工具，将资源先批量上传至个人云盘中，然后在课程中引用。（提供功能截图并加盖供应商公章）</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2.完善课程框架，包括课前导入（本章节导学，教学目标、重难点知识点）、教学章节、章节测验、拓展阅读等模块；</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3.视频资源上传（包括教学视频资源，案例视频，如新闻、短视频、学生视频作业等）；</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4.非视频教学资源，包括图书、教学课件、论文等（与授课内容相匹配、学生进行课前课后学习）；</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5.添加章节测验，每一章节添加章节测验（3-5题即可），方便学生进行课前课后自测；</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6.支持视频中任意时间点插入图片或PPT：可以在任意时间点插入图片或PPT，同时支持对插入的内容在时间轴上随意拖动。插入的PPT可以任意拖动位置，并可以跟视频窗口进行切换。（提供功能截图并加盖供应商公章）；</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7.参照教育部人工智能赋能智慧课程典型应用场景案例要求，提供基于人工智能技术的课程AI教学助手，为学习者提供专业化的教学资源，可作为教育者的教具，创设情境、增加情感体验、辅助教学、提高教学效率；可提高学习者学生互动参与度和主动性；可提高学生的课堂参与度，正向影响学生的课堂情感状态；</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8.讨论：支持教师发起主题讨论，学生端收到讨论点击进行发表自己的看法，支持文字、图片等方式上传，学生端提交讨论后，教室主屏按提交顺序以不同颜色一一列举学生提交的内容。教师可根据提交的回答进行讲解。 讨论完后，教师可点击词云进行分析本次讨论的高频词，教师可针对高频词进行重点讲解。（提供功能截图并加盖供应商公章）</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9.具备发布课程通知功能，并能及时统计到已读和未读人员名单。</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10.具备考试功能，可对试卷进行随机组卷，并设置考题乱序、答案乱序，需对考试进行是否允许查看答案及分数的设定，避免学生因答题时间不同而产生作弊现象。</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11.课堂活动：课堂授课时可直接使用课程资料进行投屏，且PPT投屏功能无需借助三方硬件，仅用手机即可实现激光笔功能和聚光灯功能，并通过该功能对投屏PPT进行激光指引。聚光灯功能支持通过手机实现对投屏PPT进行聚光展示。(提供功能截图并加盖供应商公章）</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▲12.课堂结束后，可以将所有课堂上发布的控件进行记录，生成课堂历史记录。能实时查看任一活动的详细参与情况。（提供功能截图并加盖供应商公章）；</w:t>
            </w:r>
          </w:p>
          <w:p>
            <w:pPr>
              <w:keepNext w:val="0"/>
              <w:keepLines w:val="0"/>
              <w:widowControl/>
              <w:suppressLineNumbers w:val="0"/>
              <w:jc w:val="left"/>
              <w:textAlignment w:val="bottom"/>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13.课程知识图谱构建支持智能导入,同步其他课程知识图谱，从课程章节导入，其中智能导入支持用户自主本地上传教学大纲、书籍教材，系统进行智能识别构建生成知识图谱。</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14.支持智能识别视频内容,在视频时间点上自动打知识点标签,教师可以在智能标记的基础上进行手动调整修改；学生在学习对应知识点时视频播放自动定位到知识点标记的时间点。</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15.支持智能翻译课程视频内容,视频字幕支持中文、英语，满足不同水平学生的学习需要。</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16.知识点关联教学资源支持关联包括本地上传、个人云盘、添加网址、在线图书、在线笔记、教学资源库多种来源的资料。</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17.知识图谱统计分析支持教师自定义分析，支持教师按照需求设定分析结果展示类型、设定多个分析变量，更自由灵活，多维度分析学生知识点学学习情况。</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18.学生学习知识点时,系统支持自动推荐知识点百科介绍、开放课、期刊、图书、视频、文档、音频、链接、图片等多种系统自带的知识点扩展资源，无需教师手动关联，并支持学生自主换选一批推荐资源。</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19.个性化学习路径推荐：支持学生查看基于知识点的智能学习路径，系统根据学生知识点掌握情况，智能规划知识点学习路径，学生可以按学习路径进行知识点的学习和巩固。</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20、学习助手：陪伴学习，通过学习数据智能分析学生的薄弱知识点以及结合艾宾浩斯遗忘曲线分析学生需复习的知识点,陪伴引导自主学习；</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21.知识点热搜榜：学生可以查看大家都在学习哪些知识点，解决学习迷航问题。</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22.按不同层级查看知识图谱，按知识点搜索；支持在图谱上查看每个知识点关联的资源以及学生的掌握率和完成率。</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23.需提供可用于教师课程建设和课程运行的富媒体资源库，便于教师完善课程资源，辅助教学运行。在课前/课中/课后均可使用资源库中的电子图书、报纸、期刊、专题、报纸等资源，可以用于自己课程的建设，可以对所有精彩的内容进行分享。全面辅助教师教学和学生学习。富媒体资源库中的资源量需涵盖海量学术视频与电子图书，老师备课时可以在线进行播放插入和在线虚拟剪辑；多种电子书、多种期刊，可以进行在线阅读，可以进行文字摘录直接引用到课程进行备课；电子书、学术视频等资源必须取得著作权人的授权，没有版权问题。根据国家智慧教育平台课程上线要求,供应商所提供的课程建设资源库需保证无版权问题，（成交供应商应分别提供学术视著作权授权书复印件3份、合作出版社授权书复印件3份，原件备查。）</w:t>
            </w:r>
          </w:p>
          <w:p>
            <w:pPr>
              <w:pStyle w:val="9"/>
              <w:keepNext w:val="0"/>
              <w:keepLines w:val="0"/>
              <w:widowControl/>
              <w:suppressLineNumbers w:val="0"/>
              <w:shd w:val="clear" w:fill="FFFFFF"/>
              <w:spacing w:before="0" w:beforeAutospacing="0" w:after="180" w:afterAutospacing="0"/>
              <w:ind w:left="0" w:right="0" w:firstLine="0"/>
              <w:rPr>
                <w:rFonts w:ascii="宋体" w:hAnsi="宋体"/>
                <w:b/>
                <w:bCs/>
              </w:rPr>
            </w:pPr>
            <w:r>
              <w:rPr>
                <w:rFonts w:hint="eastAsia" w:ascii="宋体" w:hAnsi="宋体" w:eastAsia="宋体" w:cs="宋体"/>
                <w:i w:val="0"/>
                <w:iCs w:val="0"/>
                <w:color w:val="000000"/>
                <w:kern w:val="0"/>
                <w:sz w:val="20"/>
                <w:szCs w:val="20"/>
                <w:u w:val="none"/>
                <w:lang w:val="en-US" w:eastAsia="zh-CN" w:bidi="ar"/>
              </w:rPr>
              <w:t>24.每一门智慧课程建设，需要与学院授课教师合作制作10个护理知识点微课视频，提供60个教学资源，包括20个动画资源，20个课件资料，20个教学设计，并利用AI数字人技术，制作授课资料。</w:t>
            </w:r>
          </w:p>
        </w:tc>
      </w:tr>
    </w:tbl>
    <w:p>
      <w:pPr>
        <w:pStyle w:val="9"/>
        <w:widowControl/>
        <w:spacing w:after="452" w:line="555" w:lineRule="atLeast"/>
        <w:rPr>
          <w:rStyle w:val="14"/>
          <w:rFonts w:ascii="黑体" w:hAnsi="宋体" w:eastAsia="黑体" w:cs="黑体"/>
          <w:color w:val="333333"/>
          <w:sz w:val="28"/>
          <w:szCs w:val="28"/>
          <w:shd w:val="clear" w:color="auto" w:fill="FFFFFF"/>
        </w:rPr>
      </w:pPr>
    </w:p>
    <w:sectPr>
      <w:footerReference r:id="rId3" w:type="default"/>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34"/>
    <w:family w:val="roman"/>
    <w:pitch w:val="default"/>
    <w:sig w:usb0="E0002EFF" w:usb1="C000785B"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TimesNewRomanPSMT">
    <w:altName w:val="Times New Roman"/>
    <w:panose1 w:val="00000000000000000000"/>
    <w:charset w:val="86"/>
    <w:family w:val="auto"/>
    <w:pitch w:val="default"/>
    <w:sig w:usb0="00000000" w:usb1="00000000" w:usb2="0000001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284099594"/>
    </w:sdtPr>
    <w:sdtContent>
      <w:sdt>
        <w:sdtPr>
          <w:id w:val="171357217"/>
        </w:sdtPr>
        <w:sdtContent>
          <w:p>
            <w:pPr>
              <w:pStyle w:val="7"/>
              <w:jc w:val="center"/>
            </w:pPr>
            <w:r>
              <w:rPr>
                <w:b/>
                <w:sz w:val="24"/>
                <w:szCs w:val="24"/>
              </w:rPr>
              <w:fldChar w:fldCharType="begin"/>
            </w:r>
            <w:r>
              <w:rPr>
                <w:b/>
              </w:rPr>
              <w:instrText xml:space="preserve">PAGE</w:instrText>
            </w:r>
            <w:r>
              <w:rPr>
                <w:b/>
                <w:sz w:val="24"/>
                <w:szCs w:val="24"/>
              </w:rPr>
              <w:fldChar w:fldCharType="separate"/>
            </w:r>
            <w:r>
              <w:rPr>
                <w:b/>
              </w:rPr>
              <w:t>10</w:t>
            </w:r>
            <w:r>
              <w:rPr>
                <w:b/>
                <w:sz w:val="24"/>
                <w:szCs w:val="24"/>
              </w:rPr>
              <w:fldChar w:fldCharType="end"/>
            </w:r>
          </w:p>
        </w:sdtContent>
      </w:sdt>
    </w:sdtContent>
  </w:sdt>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ZTdjMGJkMjQ2YWU3YzI0ZWQ5MDIzYTA5NWI0MDhjY2EifQ=="/>
  </w:docVars>
  <w:rsids>
    <w:rsidRoot w:val="52D653D6"/>
    <w:rsid w:val="00002994"/>
    <w:rsid w:val="000102D3"/>
    <w:rsid w:val="0001736C"/>
    <w:rsid w:val="00021BD6"/>
    <w:rsid w:val="00022DB0"/>
    <w:rsid w:val="000408C1"/>
    <w:rsid w:val="00047C0E"/>
    <w:rsid w:val="00056B5E"/>
    <w:rsid w:val="000808B9"/>
    <w:rsid w:val="000818CE"/>
    <w:rsid w:val="00082409"/>
    <w:rsid w:val="00082EF6"/>
    <w:rsid w:val="00087E6F"/>
    <w:rsid w:val="00092BBF"/>
    <w:rsid w:val="000953D5"/>
    <w:rsid w:val="000A3D19"/>
    <w:rsid w:val="000A5D39"/>
    <w:rsid w:val="000C4E31"/>
    <w:rsid w:val="000E64E3"/>
    <w:rsid w:val="000F48C3"/>
    <w:rsid w:val="00102784"/>
    <w:rsid w:val="0010348A"/>
    <w:rsid w:val="00110A81"/>
    <w:rsid w:val="00117EF0"/>
    <w:rsid w:val="00127AFC"/>
    <w:rsid w:val="00133620"/>
    <w:rsid w:val="00142928"/>
    <w:rsid w:val="00150216"/>
    <w:rsid w:val="0015389D"/>
    <w:rsid w:val="00156346"/>
    <w:rsid w:val="0017414C"/>
    <w:rsid w:val="0018636D"/>
    <w:rsid w:val="001B37D8"/>
    <w:rsid w:val="001C0A0B"/>
    <w:rsid w:val="001C5E3E"/>
    <w:rsid w:val="001D0CC4"/>
    <w:rsid w:val="001D3CF7"/>
    <w:rsid w:val="001D40D9"/>
    <w:rsid w:val="001F0DE4"/>
    <w:rsid w:val="001F1305"/>
    <w:rsid w:val="00204020"/>
    <w:rsid w:val="00227F58"/>
    <w:rsid w:val="002310AC"/>
    <w:rsid w:val="00232C58"/>
    <w:rsid w:val="00253977"/>
    <w:rsid w:val="002562E1"/>
    <w:rsid w:val="00262C20"/>
    <w:rsid w:val="00266048"/>
    <w:rsid w:val="00266758"/>
    <w:rsid w:val="0027553D"/>
    <w:rsid w:val="0027639E"/>
    <w:rsid w:val="00293E0B"/>
    <w:rsid w:val="002A648D"/>
    <w:rsid w:val="002C48D1"/>
    <w:rsid w:val="002E0607"/>
    <w:rsid w:val="00312577"/>
    <w:rsid w:val="00351A5E"/>
    <w:rsid w:val="003848E9"/>
    <w:rsid w:val="003B4F6A"/>
    <w:rsid w:val="003D1DCB"/>
    <w:rsid w:val="003D7CA4"/>
    <w:rsid w:val="003E6F60"/>
    <w:rsid w:val="00401437"/>
    <w:rsid w:val="004071AF"/>
    <w:rsid w:val="0040787D"/>
    <w:rsid w:val="00407C7B"/>
    <w:rsid w:val="004167FA"/>
    <w:rsid w:val="00431E0E"/>
    <w:rsid w:val="00435453"/>
    <w:rsid w:val="00463A88"/>
    <w:rsid w:val="00467F02"/>
    <w:rsid w:val="00474A3B"/>
    <w:rsid w:val="0048288D"/>
    <w:rsid w:val="0048565F"/>
    <w:rsid w:val="004D446A"/>
    <w:rsid w:val="004D6593"/>
    <w:rsid w:val="004E020D"/>
    <w:rsid w:val="004E2611"/>
    <w:rsid w:val="004E3B7E"/>
    <w:rsid w:val="004E5F3B"/>
    <w:rsid w:val="0050326B"/>
    <w:rsid w:val="005166BE"/>
    <w:rsid w:val="0052249A"/>
    <w:rsid w:val="00547DDF"/>
    <w:rsid w:val="0055287B"/>
    <w:rsid w:val="005650A8"/>
    <w:rsid w:val="005650B2"/>
    <w:rsid w:val="005C6D2A"/>
    <w:rsid w:val="005E1921"/>
    <w:rsid w:val="005E4818"/>
    <w:rsid w:val="005E4C14"/>
    <w:rsid w:val="005E4ECB"/>
    <w:rsid w:val="00603052"/>
    <w:rsid w:val="006128DF"/>
    <w:rsid w:val="00624C0D"/>
    <w:rsid w:val="00651D11"/>
    <w:rsid w:val="00655E69"/>
    <w:rsid w:val="00660F53"/>
    <w:rsid w:val="00681F69"/>
    <w:rsid w:val="00696CD7"/>
    <w:rsid w:val="006A4493"/>
    <w:rsid w:val="006C62A8"/>
    <w:rsid w:val="006D028E"/>
    <w:rsid w:val="006D1F21"/>
    <w:rsid w:val="006E0179"/>
    <w:rsid w:val="006E297E"/>
    <w:rsid w:val="006E3CF1"/>
    <w:rsid w:val="006E5784"/>
    <w:rsid w:val="006E6C19"/>
    <w:rsid w:val="00710C8F"/>
    <w:rsid w:val="007270EA"/>
    <w:rsid w:val="00733E15"/>
    <w:rsid w:val="0075181E"/>
    <w:rsid w:val="007624A7"/>
    <w:rsid w:val="007828C7"/>
    <w:rsid w:val="007942C7"/>
    <w:rsid w:val="007A4C72"/>
    <w:rsid w:val="007B21E3"/>
    <w:rsid w:val="007B4626"/>
    <w:rsid w:val="007C409B"/>
    <w:rsid w:val="007C5205"/>
    <w:rsid w:val="00801CC6"/>
    <w:rsid w:val="0080519D"/>
    <w:rsid w:val="00830BFD"/>
    <w:rsid w:val="008350EC"/>
    <w:rsid w:val="00835CD1"/>
    <w:rsid w:val="00853064"/>
    <w:rsid w:val="00857045"/>
    <w:rsid w:val="00871030"/>
    <w:rsid w:val="00896BE4"/>
    <w:rsid w:val="008A0012"/>
    <w:rsid w:val="008B090F"/>
    <w:rsid w:val="008B10DB"/>
    <w:rsid w:val="008D14DD"/>
    <w:rsid w:val="008D28D6"/>
    <w:rsid w:val="008E356A"/>
    <w:rsid w:val="008E6872"/>
    <w:rsid w:val="008F2BB9"/>
    <w:rsid w:val="00921188"/>
    <w:rsid w:val="009254E6"/>
    <w:rsid w:val="009273B2"/>
    <w:rsid w:val="00933947"/>
    <w:rsid w:val="00954DF6"/>
    <w:rsid w:val="00973544"/>
    <w:rsid w:val="00976B0B"/>
    <w:rsid w:val="00980C1A"/>
    <w:rsid w:val="00991123"/>
    <w:rsid w:val="009A0E5A"/>
    <w:rsid w:val="009A4990"/>
    <w:rsid w:val="009E24CA"/>
    <w:rsid w:val="009E40CD"/>
    <w:rsid w:val="009E469C"/>
    <w:rsid w:val="009E7472"/>
    <w:rsid w:val="00A173CF"/>
    <w:rsid w:val="00A24850"/>
    <w:rsid w:val="00A25973"/>
    <w:rsid w:val="00A30A44"/>
    <w:rsid w:val="00A31597"/>
    <w:rsid w:val="00A82D07"/>
    <w:rsid w:val="00A86CD0"/>
    <w:rsid w:val="00A91344"/>
    <w:rsid w:val="00A95723"/>
    <w:rsid w:val="00AB0679"/>
    <w:rsid w:val="00AC4CAC"/>
    <w:rsid w:val="00AC7DAE"/>
    <w:rsid w:val="00AD3300"/>
    <w:rsid w:val="00B07709"/>
    <w:rsid w:val="00B11EDA"/>
    <w:rsid w:val="00B12D00"/>
    <w:rsid w:val="00B17646"/>
    <w:rsid w:val="00B25E09"/>
    <w:rsid w:val="00B47E3C"/>
    <w:rsid w:val="00B671EC"/>
    <w:rsid w:val="00B81F9C"/>
    <w:rsid w:val="00B86469"/>
    <w:rsid w:val="00B91B26"/>
    <w:rsid w:val="00B95E1D"/>
    <w:rsid w:val="00B96A3E"/>
    <w:rsid w:val="00BA4B5D"/>
    <w:rsid w:val="00BB058F"/>
    <w:rsid w:val="00BB208F"/>
    <w:rsid w:val="00BD325C"/>
    <w:rsid w:val="00BD4895"/>
    <w:rsid w:val="00BD6001"/>
    <w:rsid w:val="00BE601F"/>
    <w:rsid w:val="00BF406C"/>
    <w:rsid w:val="00BF531C"/>
    <w:rsid w:val="00C14009"/>
    <w:rsid w:val="00C30E63"/>
    <w:rsid w:val="00C47714"/>
    <w:rsid w:val="00C671A9"/>
    <w:rsid w:val="00C75936"/>
    <w:rsid w:val="00C81107"/>
    <w:rsid w:val="00C92655"/>
    <w:rsid w:val="00CB26C2"/>
    <w:rsid w:val="00CE11B5"/>
    <w:rsid w:val="00CF4136"/>
    <w:rsid w:val="00CF77EF"/>
    <w:rsid w:val="00D13A3C"/>
    <w:rsid w:val="00D20611"/>
    <w:rsid w:val="00D24B5D"/>
    <w:rsid w:val="00D36B28"/>
    <w:rsid w:val="00D404D1"/>
    <w:rsid w:val="00D40C11"/>
    <w:rsid w:val="00D44D05"/>
    <w:rsid w:val="00D457A7"/>
    <w:rsid w:val="00D476EA"/>
    <w:rsid w:val="00D71E77"/>
    <w:rsid w:val="00D84986"/>
    <w:rsid w:val="00D9050C"/>
    <w:rsid w:val="00DA06E7"/>
    <w:rsid w:val="00DC72FA"/>
    <w:rsid w:val="00DE3942"/>
    <w:rsid w:val="00DE62C0"/>
    <w:rsid w:val="00DF3090"/>
    <w:rsid w:val="00DF3C24"/>
    <w:rsid w:val="00E0409A"/>
    <w:rsid w:val="00E11FB9"/>
    <w:rsid w:val="00E12ED2"/>
    <w:rsid w:val="00E25AAB"/>
    <w:rsid w:val="00E44071"/>
    <w:rsid w:val="00E4439D"/>
    <w:rsid w:val="00E72E28"/>
    <w:rsid w:val="00E97C10"/>
    <w:rsid w:val="00EB7ADE"/>
    <w:rsid w:val="00EC277A"/>
    <w:rsid w:val="00ED3D64"/>
    <w:rsid w:val="00EE293F"/>
    <w:rsid w:val="00EE355B"/>
    <w:rsid w:val="00EE6160"/>
    <w:rsid w:val="00EF299F"/>
    <w:rsid w:val="00EF4227"/>
    <w:rsid w:val="00EF6487"/>
    <w:rsid w:val="00F20CDC"/>
    <w:rsid w:val="00F24410"/>
    <w:rsid w:val="00F25E3C"/>
    <w:rsid w:val="00F26972"/>
    <w:rsid w:val="00F330CB"/>
    <w:rsid w:val="00F348C2"/>
    <w:rsid w:val="00F408EA"/>
    <w:rsid w:val="00F5062C"/>
    <w:rsid w:val="00F56375"/>
    <w:rsid w:val="00F73016"/>
    <w:rsid w:val="00F92D4B"/>
    <w:rsid w:val="00F94F4A"/>
    <w:rsid w:val="00FB02B1"/>
    <w:rsid w:val="00FB3DFA"/>
    <w:rsid w:val="00FD620A"/>
    <w:rsid w:val="014F4893"/>
    <w:rsid w:val="0163247B"/>
    <w:rsid w:val="05014CC8"/>
    <w:rsid w:val="05E90218"/>
    <w:rsid w:val="06C929F2"/>
    <w:rsid w:val="09287D76"/>
    <w:rsid w:val="09E37FB3"/>
    <w:rsid w:val="0A0F5BB5"/>
    <w:rsid w:val="0B5B31D1"/>
    <w:rsid w:val="0B8E1704"/>
    <w:rsid w:val="0C93343B"/>
    <w:rsid w:val="0CC46135"/>
    <w:rsid w:val="0E6F05D1"/>
    <w:rsid w:val="0F074FAA"/>
    <w:rsid w:val="0F242EBB"/>
    <w:rsid w:val="10D0497D"/>
    <w:rsid w:val="12F31522"/>
    <w:rsid w:val="15333719"/>
    <w:rsid w:val="157A4E35"/>
    <w:rsid w:val="15A6480D"/>
    <w:rsid w:val="1608351E"/>
    <w:rsid w:val="1BAA04CD"/>
    <w:rsid w:val="1C3E4E69"/>
    <w:rsid w:val="1DF613D3"/>
    <w:rsid w:val="1EFD54D7"/>
    <w:rsid w:val="1F7C289F"/>
    <w:rsid w:val="20A0716E"/>
    <w:rsid w:val="21E9568B"/>
    <w:rsid w:val="22525B39"/>
    <w:rsid w:val="22833F45"/>
    <w:rsid w:val="24217571"/>
    <w:rsid w:val="242F04AA"/>
    <w:rsid w:val="24F5112A"/>
    <w:rsid w:val="258B55EA"/>
    <w:rsid w:val="25AE21C0"/>
    <w:rsid w:val="26A022EB"/>
    <w:rsid w:val="278E005D"/>
    <w:rsid w:val="288B42E2"/>
    <w:rsid w:val="2B597F39"/>
    <w:rsid w:val="2C2422F5"/>
    <w:rsid w:val="2FEC2936"/>
    <w:rsid w:val="2FFB5E74"/>
    <w:rsid w:val="30175C86"/>
    <w:rsid w:val="3038292B"/>
    <w:rsid w:val="31222D8D"/>
    <w:rsid w:val="32F71A53"/>
    <w:rsid w:val="33741BAE"/>
    <w:rsid w:val="33F53549"/>
    <w:rsid w:val="36525CB0"/>
    <w:rsid w:val="38290730"/>
    <w:rsid w:val="3A1514CF"/>
    <w:rsid w:val="3BDC4EF4"/>
    <w:rsid w:val="3E8F7AA2"/>
    <w:rsid w:val="40BC08F6"/>
    <w:rsid w:val="41842ED7"/>
    <w:rsid w:val="41E80EEB"/>
    <w:rsid w:val="422E5823"/>
    <w:rsid w:val="43021B70"/>
    <w:rsid w:val="44E060C2"/>
    <w:rsid w:val="44F42A38"/>
    <w:rsid w:val="45EE1552"/>
    <w:rsid w:val="4708796F"/>
    <w:rsid w:val="47283916"/>
    <w:rsid w:val="496B2EB9"/>
    <w:rsid w:val="49DC3DB7"/>
    <w:rsid w:val="4A8C26DF"/>
    <w:rsid w:val="4C940979"/>
    <w:rsid w:val="4D237BB0"/>
    <w:rsid w:val="4D901140"/>
    <w:rsid w:val="4FAF63F5"/>
    <w:rsid w:val="508F329F"/>
    <w:rsid w:val="50F5172E"/>
    <w:rsid w:val="52264F17"/>
    <w:rsid w:val="527B4618"/>
    <w:rsid w:val="52B813CD"/>
    <w:rsid w:val="52D653D6"/>
    <w:rsid w:val="531C47BB"/>
    <w:rsid w:val="554B78CD"/>
    <w:rsid w:val="58E50BA2"/>
    <w:rsid w:val="598B674F"/>
    <w:rsid w:val="59F111B9"/>
    <w:rsid w:val="5A025174"/>
    <w:rsid w:val="5B24736C"/>
    <w:rsid w:val="5B6476D9"/>
    <w:rsid w:val="5B8E2CD1"/>
    <w:rsid w:val="5D5E44AA"/>
    <w:rsid w:val="5E8172C0"/>
    <w:rsid w:val="60892E13"/>
    <w:rsid w:val="628F7431"/>
    <w:rsid w:val="648F5856"/>
    <w:rsid w:val="656315AF"/>
    <w:rsid w:val="66661FED"/>
    <w:rsid w:val="67513204"/>
    <w:rsid w:val="67D866A0"/>
    <w:rsid w:val="6C28527F"/>
    <w:rsid w:val="6D6123F1"/>
    <w:rsid w:val="6E27654C"/>
    <w:rsid w:val="6F2F0361"/>
    <w:rsid w:val="6F71097A"/>
    <w:rsid w:val="6F9A63EE"/>
    <w:rsid w:val="6FC46BA4"/>
    <w:rsid w:val="71193077"/>
    <w:rsid w:val="72CB65F3"/>
    <w:rsid w:val="7357203A"/>
    <w:rsid w:val="73A7440E"/>
    <w:rsid w:val="74CB28DA"/>
    <w:rsid w:val="75352A78"/>
    <w:rsid w:val="76A25AB4"/>
    <w:rsid w:val="7835786E"/>
    <w:rsid w:val="7836450F"/>
    <w:rsid w:val="7A995229"/>
    <w:rsid w:val="7B6B7826"/>
    <w:rsid w:val="7BC6204D"/>
    <w:rsid w:val="7C2B051C"/>
    <w:rsid w:val="7CDA58DC"/>
    <w:rsid w:val="7E3E36EF"/>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semiHidden="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iPriority="0" w:name="index 1"/>
    <w:lsdException w:uiPriority="0" w:name="index 2"/>
    <w:lsdException w:uiPriority="0" w:name="index 3"/>
    <w:lsdException w:uiPriority="0" w:name="index 4"/>
    <w:lsdException w:uiPriority="0" w:name="index 5"/>
    <w:lsdException w:uiPriority="0" w:name="index 6"/>
    <w:lsdException w:uiPriority="0" w:name="index 7"/>
    <w:lsdException w:uiPriority="0" w:name="index 8"/>
    <w:lsdException w:uiPriority="0" w:name="index 9"/>
    <w:lsdException w:uiPriority="0" w:name="toc 1"/>
    <w:lsdException w:uiPriority="0" w:name="toc 2"/>
    <w:lsdException w:uiPriority="0" w:name="toc 3"/>
    <w:lsdException w:uiPriority="0" w:name="toc 4"/>
    <w:lsdException w:uiPriority="0" w:name="toc 5"/>
    <w:lsdException w:uiPriority="0" w:name="toc 6"/>
    <w:lsdException w:uiPriority="0" w:name="toc 7"/>
    <w:lsdException w:uiPriority="0" w:name="toc 8"/>
    <w:lsdException w:uiPriority="0" w:name="toc 9"/>
    <w:lsdException w:uiPriority="0" w:name="Normal Indent"/>
    <w:lsdException w:uiPriority="0" w:name="footnote text"/>
    <w:lsdException w:qFormat="1" w:uiPriority="0" w:semiHidden="0" w:name="annotation text"/>
    <w:lsdException w:qFormat="1" w:unhideWhenUsed="0" w:uiPriority="99" w:semiHidden="0" w:name="header"/>
    <w:lsdException w:qFormat="1" w:unhideWhenUsed="0" w:uiPriority="99" w:semiHidden="0" w:name="footer"/>
    <w:lsdException w:uiPriority="0" w:name="index heading"/>
    <w:lsdException w:qFormat="1" w:uiPriority="0" w:name="caption"/>
    <w:lsdException w:uiPriority="0" w:name="table of figures"/>
    <w:lsdException w:uiPriority="0" w:name="envelope address"/>
    <w:lsdException w:uiPriority="0" w:name="envelope return"/>
    <w:lsdException w:uiPriority="0" w:name="footnote reference"/>
    <w:lsdException w:qFormat="1" w:uiPriority="0" w:semiHidden="0" w:name="annotation reference"/>
    <w:lsdException w:uiPriority="0" w:name="line number"/>
    <w:lsdException w:uiPriority="0" w:name="page number"/>
    <w:lsdException w:uiPriority="0" w:name="endnote reference"/>
    <w:lsdException w:uiPriority="0" w:name="endnote text"/>
    <w:lsdException w:uiPriority="0" w:name="table of authorities"/>
    <w:lsdException w:uiPriority="0" w:name="macro"/>
    <w:lsdException w:uiPriority="0" w:name="toa heading"/>
    <w:lsdException w:uiPriority="0" w:name="List"/>
    <w:lsdException w:uiPriority="0" w:name="List Bullet"/>
    <w:lsdException w:unhideWhenUsed="0" w:uiPriority="0" w:semiHidden="0" w:name="List Number"/>
    <w:lsdException w:uiPriority="0" w:name="List 2"/>
    <w:lsdException w:uiPriority="0" w:name="List 3"/>
    <w:lsdException w:unhideWhenUsed="0" w:uiPriority="0" w:semiHidden="0" w:name="List 4"/>
    <w:lsdException w:unhideWhenUsed="0" w:uiPriority="0" w:semiHidden="0" w:name="List 5"/>
    <w:lsdException w:uiPriority="0" w:name="List Bullet 2"/>
    <w:lsdException w:uiPriority="0" w:name="List Bullet 3"/>
    <w:lsdException w:uiPriority="0" w:name="List Bullet 4"/>
    <w:lsdException w:uiPriority="0" w:name="List Bullet 5"/>
    <w:lsdException w:uiPriority="0" w:name="List Number 2"/>
    <w:lsdException w:uiPriority="0" w:name="List Number 3"/>
    <w:lsdException w:uiPriority="0" w:name="List Number 4"/>
    <w:lsdException w:uiPriority="0" w:name="List Number 5"/>
    <w:lsdException w:qFormat="1" w:unhideWhenUsed="0" w:uiPriority="0" w:semiHidden="0" w:name="Title"/>
    <w:lsdException w:uiPriority="0" w:name="Closing"/>
    <w:lsdException w:uiPriority="0" w:name="Signature"/>
    <w:lsdException w:qFormat="1" w:uiPriority="1" w:name="Default Paragraph Font"/>
    <w:lsdException w:uiPriority="0" w:name="Body Text"/>
    <w:lsdException w:uiPriority="0" w:name="Body Text Indent"/>
    <w:lsdException w:uiPriority="0" w:name="List Continue"/>
    <w:lsdException w:uiPriority="0" w:name="List Continue 2"/>
    <w:lsdException w:uiPriority="0" w:name="List Continue 3"/>
    <w:lsdException w:uiPriority="0" w:name="List Continue 4"/>
    <w:lsdException w:uiPriority="0" w:name="List Continue 5"/>
    <w:lsdException w:uiPriority="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iPriority="0" w:name="Body Text First Indent 2"/>
    <w:lsdException w:uiPriority="0" w:name="Note Heading"/>
    <w:lsdException w:uiPriority="0" w:name="Body Text 2"/>
    <w:lsdException w:uiPriority="0" w:name="Body Text 3"/>
    <w:lsdException w:uiPriority="0" w:name="Body Text Indent 2"/>
    <w:lsdException w:uiPriority="0" w:name="Body Text Indent 3"/>
    <w:lsdException w:uiPriority="0" w:name="Block Text"/>
    <w:lsdException w:qFormat="1" w:unhideWhenUsed="0" w:uiPriority="0" w:semiHidden="0" w:name="Hyperlink"/>
    <w:lsdException w:qFormat="1" w:unhideWhenUsed="0" w:uiPriority="0" w:semiHidden="0" w:name="FollowedHyperlink"/>
    <w:lsdException w:qFormat="1" w:unhideWhenUsed="0" w:uiPriority="0" w:semiHidden="0" w:name="Strong"/>
    <w:lsdException w:qFormat="1" w:unhideWhenUsed="0" w:uiPriority="0" w:semiHidden="0" w:name="Emphasis"/>
    <w:lsdException w:uiPriority="0" w:name="Document Map"/>
    <w:lsdException w:qFormat="1" w:unhideWhenUsed="0" w:uiPriority="0" w:semiHidden="0" w:name="Plain Text"/>
    <w:lsdException w:uiPriority="0" w:name="E-mail Signature"/>
    <w:lsdException w:qFormat="1" w:unhideWhenUsed="0" w:uiPriority="99" w:semiHidden="0" w:name="Normal (Web)"/>
    <w:lsdException w:qFormat="1" w:unhideWhenUsed="0" w:uiPriority="0" w:semiHidden="0" w:name="HTML Acronym"/>
    <w:lsdException w:uiPriority="0" w:name="HTML Address"/>
    <w:lsdException w:qFormat="1" w:unhideWhenUsed="0" w:uiPriority="0" w:semiHidden="0" w:name="HTML Cite"/>
    <w:lsdException w:qFormat="1" w:unhideWhenUsed="0" w:uiPriority="0" w:semiHidden="0" w:name="HTML Code"/>
    <w:lsdException w:qFormat="1" w:unhideWhenUsed="0" w:uiPriority="0" w:semiHidden="0" w:name="HTML Definition"/>
    <w:lsdException w:uiPriority="0" w:name="HTML Keyboard"/>
    <w:lsdException w:uiPriority="0" w:name="HTML Preformatted"/>
    <w:lsdException w:uiPriority="0" w:name="HTML Sample"/>
    <w:lsdException w:uiPriority="0" w:name="HTML Typewriter"/>
    <w:lsdException w:qFormat="1" w:unhideWhenUsed="0" w:uiPriority="0" w:semiHidden="0" w:name="HTML Variable"/>
    <w:lsdException w:qFormat="1" w:uiPriority="99" w:name="Normal Table"/>
    <w:lsdException w:qFormat="1"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qFormat="1" w:uiPriority="0" w:semiHidden="0" w:name="Balloon Text"/>
    <w:lsdException w:qFormat="1" w:unhideWhenUsed="0" w:uiPriority="39"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2"/>
    <w:basedOn w:val="1"/>
    <w:next w:val="1"/>
    <w:unhideWhenUsed/>
    <w:qFormat/>
    <w:uiPriority w:val="0"/>
    <w:pPr>
      <w:jc w:val="left"/>
      <w:outlineLvl w:val="1"/>
    </w:pPr>
    <w:rPr>
      <w:rFonts w:hint="eastAsia" w:ascii="宋体" w:hAnsi="宋体" w:eastAsia="宋体" w:cs="Times New Roman"/>
      <w:kern w:val="0"/>
      <w:sz w:val="24"/>
    </w:rPr>
  </w:style>
  <w:style w:type="paragraph" w:styleId="3">
    <w:name w:val="heading 4"/>
    <w:basedOn w:val="1"/>
    <w:next w:val="1"/>
    <w:unhideWhenUsed/>
    <w:qFormat/>
    <w:uiPriority w:val="0"/>
    <w:pPr>
      <w:jc w:val="left"/>
      <w:outlineLvl w:val="3"/>
    </w:pPr>
    <w:rPr>
      <w:rFonts w:hint="eastAsia" w:ascii="宋体" w:hAnsi="宋体" w:eastAsia="宋体" w:cs="Times New Roman"/>
      <w:kern w:val="0"/>
      <w:sz w:val="24"/>
    </w:rPr>
  </w:style>
  <w:style w:type="character" w:default="1" w:styleId="13">
    <w:name w:val="Default Paragraph Font"/>
    <w:semiHidden/>
    <w:unhideWhenUsed/>
    <w:qFormat/>
    <w:uiPriority w:val="1"/>
  </w:style>
  <w:style w:type="table" w:default="1" w:styleId="11">
    <w:name w:val="Normal Table"/>
    <w:semiHidden/>
    <w:unhideWhenUsed/>
    <w:qFormat/>
    <w:uiPriority w:val="99"/>
    <w:tblPr>
      <w:tblCellMar>
        <w:top w:w="0" w:type="dxa"/>
        <w:left w:w="108" w:type="dxa"/>
        <w:bottom w:w="0" w:type="dxa"/>
        <w:right w:w="108" w:type="dxa"/>
      </w:tblCellMar>
    </w:tblPr>
  </w:style>
  <w:style w:type="paragraph" w:styleId="4">
    <w:name w:val="annotation text"/>
    <w:basedOn w:val="1"/>
    <w:link w:val="34"/>
    <w:unhideWhenUsed/>
    <w:qFormat/>
    <w:uiPriority w:val="0"/>
    <w:pPr>
      <w:jc w:val="left"/>
    </w:pPr>
  </w:style>
  <w:style w:type="paragraph" w:styleId="5">
    <w:name w:val="Plain Text"/>
    <w:basedOn w:val="1"/>
    <w:link w:val="31"/>
    <w:qFormat/>
    <w:uiPriority w:val="0"/>
    <w:rPr>
      <w:rFonts w:ascii="宋体" w:hAnsi="Courier New" w:eastAsia="宋体" w:cs="Courier New"/>
      <w:kern w:val="0"/>
      <w:sz w:val="20"/>
      <w:szCs w:val="21"/>
    </w:rPr>
  </w:style>
  <w:style w:type="paragraph" w:styleId="6">
    <w:name w:val="Balloon Text"/>
    <w:basedOn w:val="1"/>
    <w:link w:val="36"/>
    <w:unhideWhenUsed/>
    <w:qFormat/>
    <w:uiPriority w:val="0"/>
    <w:rPr>
      <w:sz w:val="18"/>
      <w:szCs w:val="18"/>
    </w:rPr>
  </w:style>
  <w:style w:type="paragraph" w:styleId="7">
    <w:name w:val="footer"/>
    <w:basedOn w:val="1"/>
    <w:link w:val="29"/>
    <w:qFormat/>
    <w:uiPriority w:val="99"/>
    <w:pPr>
      <w:tabs>
        <w:tab w:val="center" w:pos="4153"/>
        <w:tab w:val="right" w:pos="8306"/>
      </w:tabs>
      <w:snapToGrid w:val="0"/>
      <w:jc w:val="left"/>
    </w:pPr>
    <w:rPr>
      <w:sz w:val="18"/>
      <w:szCs w:val="18"/>
    </w:rPr>
  </w:style>
  <w:style w:type="paragraph" w:styleId="8">
    <w:name w:val="header"/>
    <w:basedOn w:val="1"/>
    <w:link w:val="28"/>
    <w:qFormat/>
    <w:uiPriority w:val="99"/>
    <w:pPr>
      <w:pBdr>
        <w:bottom w:val="single" w:color="auto" w:sz="6" w:space="1"/>
      </w:pBdr>
      <w:tabs>
        <w:tab w:val="center" w:pos="4153"/>
        <w:tab w:val="right" w:pos="8306"/>
      </w:tabs>
      <w:snapToGrid w:val="0"/>
      <w:jc w:val="center"/>
    </w:pPr>
    <w:rPr>
      <w:sz w:val="18"/>
      <w:szCs w:val="18"/>
    </w:rPr>
  </w:style>
  <w:style w:type="paragraph" w:styleId="9">
    <w:name w:val="Normal (Web)"/>
    <w:basedOn w:val="1"/>
    <w:qFormat/>
    <w:uiPriority w:val="99"/>
    <w:pPr>
      <w:jc w:val="left"/>
    </w:pPr>
    <w:rPr>
      <w:rFonts w:cs="Times New Roman"/>
      <w:kern w:val="0"/>
      <w:sz w:val="24"/>
    </w:rPr>
  </w:style>
  <w:style w:type="paragraph" w:styleId="10">
    <w:name w:val="annotation subject"/>
    <w:basedOn w:val="4"/>
    <w:next w:val="4"/>
    <w:link w:val="35"/>
    <w:unhideWhenUsed/>
    <w:qFormat/>
    <w:uiPriority w:val="0"/>
    <w:rPr>
      <w:b/>
      <w:bCs/>
    </w:rPr>
  </w:style>
  <w:style w:type="table" w:styleId="12">
    <w:name w:val="Table Grid"/>
    <w:basedOn w:val="11"/>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4">
    <w:name w:val="Strong"/>
    <w:basedOn w:val="13"/>
    <w:qFormat/>
    <w:uiPriority w:val="0"/>
    <w:rPr>
      <w:b/>
    </w:rPr>
  </w:style>
  <w:style w:type="character" w:styleId="15">
    <w:name w:val="FollowedHyperlink"/>
    <w:basedOn w:val="13"/>
    <w:qFormat/>
    <w:uiPriority w:val="0"/>
    <w:rPr>
      <w:color w:val="333333"/>
      <w:u w:val="none"/>
    </w:rPr>
  </w:style>
  <w:style w:type="character" w:styleId="16">
    <w:name w:val="Emphasis"/>
    <w:basedOn w:val="13"/>
    <w:qFormat/>
    <w:uiPriority w:val="0"/>
  </w:style>
  <w:style w:type="character" w:styleId="17">
    <w:name w:val="HTML Definition"/>
    <w:basedOn w:val="13"/>
    <w:qFormat/>
    <w:uiPriority w:val="0"/>
  </w:style>
  <w:style w:type="character" w:styleId="18">
    <w:name w:val="HTML Acronym"/>
    <w:basedOn w:val="13"/>
    <w:qFormat/>
    <w:uiPriority w:val="0"/>
  </w:style>
  <w:style w:type="character" w:styleId="19">
    <w:name w:val="HTML Variable"/>
    <w:basedOn w:val="13"/>
    <w:qFormat/>
    <w:uiPriority w:val="0"/>
  </w:style>
  <w:style w:type="character" w:styleId="20">
    <w:name w:val="Hyperlink"/>
    <w:basedOn w:val="13"/>
    <w:qFormat/>
    <w:uiPriority w:val="0"/>
    <w:rPr>
      <w:color w:val="333333"/>
      <w:u w:val="none"/>
    </w:rPr>
  </w:style>
  <w:style w:type="character" w:styleId="21">
    <w:name w:val="HTML Code"/>
    <w:basedOn w:val="13"/>
    <w:qFormat/>
    <w:uiPriority w:val="0"/>
    <w:rPr>
      <w:rFonts w:ascii="Courier New" w:hAnsi="Courier New"/>
      <w:sz w:val="20"/>
    </w:rPr>
  </w:style>
  <w:style w:type="character" w:styleId="22">
    <w:name w:val="annotation reference"/>
    <w:basedOn w:val="13"/>
    <w:unhideWhenUsed/>
    <w:qFormat/>
    <w:uiPriority w:val="0"/>
    <w:rPr>
      <w:sz w:val="21"/>
      <w:szCs w:val="21"/>
    </w:rPr>
  </w:style>
  <w:style w:type="character" w:styleId="23">
    <w:name w:val="HTML Cite"/>
    <w:basedOn w:val="13"/>
    <w:qFormat/>
    <w:uiPriority w:val="0"/>
  </w:style>
  <w:style w:type="character" w:customStyle="1" w:styleId="24">
    <w:name w:val="current"/>
    <w:basedOn w:val="13"/>
    <w:qFormat/>
    <w:uiPriority w:val="0"/>
    <w:rPr>
      <w:b/>
      <w:bCs/>
      <w:color w:val="FFFFFF"/>
      <w:bdr w:val="single" w:color="7D6543" w:sz="6" w:space="0"/>
      <w:shd w:val="clear" w:color="auto" w:fill="7D6543"/>
    </w:rPr>
  </w:style>
  <w:style w:type="character" w:customStyle="1" w:styleId="25">
    <w:name w:val="disabled"/>
    <w:basedOn w:val="13"/>
    <w:qFormat/>
    <w:uiPriority w:val="0"/>
    <w:rPr>
      <w:color w:val="999999"/>
      <w:bdr w:val="single" w:color="C5C5C5" w:sz="6" w:space="0"/>
    </w:rPr>
  </w:style>
  <w:style w:type="character" w:customStyle="1" w:styleId="26">
    <w:name w:val="font11"/>
    <w:basedOn w:val="13"/>
    <w:qFormat/>
    <w:uiPriority w:val="0"/>
    <w:rPr>
      <w:rFonts w:hint="eastAsia" w:ascii="宋体" w:hAnsi="宋体" w:eastAsia="宋体" w:cs="宋体"/>
      <w:color w:val="000000"/>
      <w:sz w:val="24"/>
      <w:szCs w:val="24"/>
      <w:u w:val="none"/>
    </w:rPr>
  </w:style>
  <w:style w:type="character" w:customStyle="1" w:styleId="27">
    <w:name w:val="font31"/>
    <w:basedOn w:val="13"/>
    <w:qFormat/>
    <w:uiPriority w:val="0"/>
    <w:rPr>
      <w:rFonts w:hint="eastAsia" w:ascii="宋体" w:hAnsi="宋体" w:eastAsia="宋体" w:cs="宋体"/>
      <w:color w:val="000000"/>
      <w:sz w:val="24"/>
      <w:szCs w:val="24"/>
      <w:u w:val="none"/>
    </w:rPr>
  </w:style>
  <w:style w:type="character" w:customStyle="1" w:styleId="28">
    <w:name w:val="页眉 字符"/>
    <w:basedOn w:val="13"/>
    <w:link w:val="8"/>
    <w:qFormat/>
    <w:uiPriority w:val="99"/>
    <w:rPr>
      <w:rFonts w:asciiTheme="minorHAnsi" w:hAnsiTheme="minorHAnsi" w:eastAsiaTheme="minorEastAsia" w:cstheme="minorBidi"/>
      <w:kern w:val="2"/>
      <w:sz w:val="18"/>
      <w:szCs w:val="18"/>
    </w:rPr>
  </w:style>
  <w:style w:type="character" w:customStyle="1" w:styleId="29">
    <w:name w:val="页脚 字符"/>
    <w:basedOn w:val="13"/>
    <w:link w:val="7"/>
    <w:qFormat/>
    <w:uiPriority w:val="99"/>
    <w:rPr>
      <w:rFonts w:asciiTheme="minorHAnsi" w:hAnsiTheme="minorHAnsi" w:eastAsiaTheme="minorEastAsia" w:cstheme="minorBidi"/>
      <w:kern w:val="2"/>
      <w:sz w:val="18"/>
      <w:szCs w:val="18"/>
    </w:rPr>
  </w:style>
  <w:style w:type="paragraph" w:customStyle="1" w:styleId="30">
    <w:name w:val="列出段落1"/>
    <w:basedOn w:val="1"/>
    <w:unhideWhenUsed/>
    <w:qFormat/>
    <w:uiPriority w:val="99"/>
    <w:pPr>
      <w:ind w:firstLine="420" w:firstLineChars="200"/>
    </w:pPr>
  </w:style>
  <w:style w:type="character" w:customStyle="1" w:styleId="31">
    <w:name w:val="纯文本 字符"/>
    <w:basedOn w:val="13"/>
    <w:link w:val="5"/>
    <w:qFormat/>
    <w:uiPriority w:val="0"/>
    <w:rPr>
      <w:rFonts w:ascii="宋体" w:hAnsi="Courier New" w:cs="Courier New"/>
      <w:szCs w:val="21"/>
    </w:rPr>
  </w:style>
  <w:style w:type="paragraph" w:customStyle="1" w:styleId="32">
    <w:name w:val="无间隔1"/>
    <w:link w:val="33"/>
    <w:qFormat/>
    <w:uiPriority w:val="1"/>
    <w:rPr>
      <w:rFonts w:asciiTheme="minorHAnsi" w:hAnsiTheme="minorHAnsi" w:eastAsiaTheme="minorEastAsia" w:cstheme="minorBidi"/>
      <w:sz w:val="22"/>
      <w:szCs w:val="22"/>
      <w:lang w:val="en-US" w:eastAsia="zh-CN" w:bidi="ar-SA"/>
    </w:rPr>
  </w:style>
  <w:style w:type="character" w:customStyle="1" w:styleId="33">
    <w:name w:val="无间隔 Char"/>
    <w:basedOn w:val="13"/>
    <w:link w:val="32"/>
    <w:qFormat/>
    <w:uiPriority w:val="1"/>
    <w:rPr>
      <w:rFonts w:asciiTheme="minorHAnsi" w:hAnsiTheme="minorHAnsi" w:eastAsiaTheme="minorEastAsia" w:cstheme="minorBidi"/>
      <w:sz w:val="22"/>
      <w:szCs w:val="22"/>
    </w:rPr>
  </w:style>
  <w:style w:type="character" w:customStyle="1" w:styleId="34">
    <w:name w:val="批注文字 字符"/>
    <w:basedOn w:val="13"/>
    <w:link w:val="4"/>
    <w:semiHidden/>
    <w:qFormat/>
    <w:uiPriority w:val="0"/>
    <w:rPr>
      <w:rFonts w:asciiTheme="minorHAnsi" w:hAnsiTheme="minorHAnsi" w:eastAsiaTheme="minorEastAsia" w:cstheme="minorBidi"/>
      <w:kern w:val="2"/>
      <w:sz w:val="21"/>
      <w:szCs w:val="24"/>
    </w:rPr>
  </w:style>
  <w:style w:type="character" w:customStyle="1" w:styleId="35">
    <w:name w:val="批注主题 字符"/>
    <w:basedOn w:val="34"/>
    <w:link w:val="10"/>
    <w:semiHidden/>
    <w:qFormat/>
    <w:uiPriority w:val="0"/>
    <w:rPr>
      <w:rFonts w:asciiTheme="minorHAnsi" w:hAnsiTheme="minorHAnsi" w:eastAsiaTheme="minorEastAsia" w:cstheme="minorBidi"/>
      <w:b/>
      <w:bCs/>
      <w:kern w:val="2"/>
      <w:sz w:val="21"/>
      <w:szCs w:val="24"/>
    </w:rPr>
  </w:style>
  <w:style w:type="character" w:customStyle="1" w:styleId="36">
    <w:name w:val="批注框文本 字符"/>
    <w:basedOn w:val="13"/>
    <w:link w:val="6"/>
    <w:semiHidden/>
    <w:qFormat/>
    <w:uiPriority w:val="0"/>
    <w:rPr>
      <w:rFonts w:asciiTheme="minorHAnsi" w:hAnsiTheme="minorHAnsi" w:eastAsiaTheme="minorEastAsia" w:cstheme="minorBidi"/>
      <w:kern w:val="2"/>
      <w:sz w:val="18"/>
      <w:szCs w:val="18"/>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96DE2B7-C2ED-46FF-8FFB-057EE05C9548}">
  <ds:schemaRefs/>
</ds:datastoreItem>
</file>

<file path=docProps/app.xml><?xml version="1.0" encoding="utf-8"?>
<Properties xmlns="http://schemas.openxmlformats.org/officeDocument/2006/extended-properties" xmlns:vt="http://schemas.openxmlformats.org/officeDocument/2006/docPropsVTypes">
  <Template>Normal</Template>
  <Company>China</Company>
  <Pages>11</Pages>
  <Words>1321</Words>
  <Characters>1332</Characters>
  <Lines>8</Lines>
  <Paragraphs>2</Paragraphs>
  <TotalTime>26</TotalTime>
  <ScaleCrop>false</ScaleCrop>
  <LinksUpToDate>false</LinksUpToDate>
  <CharactersWithSpaces>1338</CharactersWithSpaces>
  <Application>WPS Office_11.8.2.11813_F1E327BC-269C-435d-A152-05C5408002CA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2022-01-12T07:29:00Z</dcterms:created>
  <dc:creator>Administrator</dc:creator>
  <cp:lastModifiedBy>XM</cp:lastModifiedBy>
  <cp:lastPrinted>2021-12-09T07:52:00Z</cp:lastPrinted>
  <dcterms:modified xsi:type="dcterms:W3CDTF">2025-11-03T08:46:07Z</dcterms:modified>
  <cp:revision>46</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2052-11.8.2.11813</vt:lpwstr>
  </property>
  <property fmtid="{D5CDD505-2E9C-101B-9397-08002B2CF9AE}" pid="3" name="ICV">
    <vt:lpwstr>19CE6C4B7F8A43C7981FA066754F118C</vt:lpwstr>
  </property>
  <property fmtid="{D5CDD505-2E9C-101B-9397-08002B2CF9AE}" pid="4" name="KSOTemplateDocerSaveRecord">
    <vt:lpwstr>eyJoZGlkIjoiZGQ5MDRkMTUyYTY0ZjllYzYyMjJlMzBlYTA1NmZmZjkiLCJ1c2VySWQiOiIyNzE5NzM5ODQifQ==</vt:lpwstr>
  </property>
</Properties>
</file>