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E5550">
      <w:pPr>
        <w:spacing w:line="400" w:lineRule="exact"/>
        <w:rPr>
          <w:rFonts w:ascii="宋体" w:hAnsi="宋体"/>
          <w:b/>
          <w:sz w:val="28"/>
          <w:szCs w:val="28"/>
        </w:rPr>
      </w:pPr>
      <w:r>
        <w:rPr>
          <w:rFonts w:hint="eastAsia" w:ascii="宋体" w:hAnsi="宋体"/>
          <w:b/>
          <w:sz w:val="28"/>
          <w:szCs w:val="28"/>
        </w:rPr>
        <w:t>附件3</w:t>
      </w:r>
    </w:p>
    <w:p w14:paraId="555C582E">
      <w:pPr>
        <w:spacing w:line="400" w:lineRule="exact"/>
        <w:jc w:val="center"/>
        <w:rPr>
          <w:rFonts w:ascii="宋体" w:hAnsi="宋体"/>
          <w:b/>
          <w:sz w:val="28"/>
          <w:szCs w:val="28"/>
        </w:rPr>
      </w:pPr>
      <w:r>
        <w:rPr>
          <w:rFonts w:hint="eastAsia" w:ascii="宋体" w:hAnsi="宋体"/>
          <w:b/>
          <w:sz w:val="28"/>
          <w:szCs w:val="28"/>
        </w:rPr>
        <w:t>采购需求</w:t>
      </w:r>
    </w:p>
    <w:p w14:paraId="2D55633F">
      <w:pPr>
        <w:pStyle w:val="5"/>
        <w:rPr>
          <w:highlight w:val="none"/>
        </w:rPr>
      </w:pPr>
      <w:r>
        <w:rPr>
          <w:rFonts w:hint="eastAsia"/>
          <w:highlight w:val="none"/>
        </w:rPr>
        <w:t>说明：</w:t>
      </w:r>
    </w:p>
    <w:p w14:paraId="6792A7D1">
      <w:pPr>
        <w:pStyle w:val="5"/>
        <w:rPr>
          <w:highlight w:val="none"/>
        </w:rPr>
      </w:pPr>
      <w:r>
        <w:rPr>
          <w:rFonts w:hint="eastAsia"/>
          <w:highlight w:val="none"/>
        </w:rPr>
        <w:t>1、投标人须根据中医临床实验教学中心实训室设备购置</w:t>
      </w:r>
      <w:r>
        <w:rPr>
          <w:rFonts w:hint="eastAsia"/>
          <w:highlight w:val="none"/>
          <w:lang w:val="en-US" w:eastAsia="zh-CN"/>
        </w:rPr>
        <w:t>项目</w:t>
      </w:r>
      <w:r>
        <w:rPr>
          <w:rFonts w:hint="eastAsia"/>
          <w:highlight w:val="none"/>
        </w:rPr>
        <w:t>明细需求 、商务需求提供一一对应的响应偏离表。</w:t>
      </w:r>
    </w:p>
    <w:p w14:paraId="1DBFFE0E">
      <w:pPr>
        <w:pStyle w:val="5"/>
        <w:rPr>
          <w:highlight w:val="none"/>
        </w:rPr>
      </w:pPr>
      <w:r>
        <w:rPr>
          <w:rFonts w:hint="eastAsia"/>
          <w:highlight w:val="none"/>
        </w:rPr>
        <w:t>2、本章中带▲号条款为实质性内容要求，投标时必须满足。</w:t>
      </w:r>
    </w:p>
    <w:p w14:paraId="5B4EF6F0">
      <w:pPr>
        <w:pStyle w:val="5"/>
        <w:rPr>
          <w:highlight w:val="none"/>
        </w:rPr>
      </w:pPr>
    </w:p>
    <w:tbl>
      <w:tblPr>
        <w:tblStyle w:val="13"/>
        <w:tblW w:w="109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6"/>
        <w:gridCol w:w="860"/>
        <w:gridCol w:w="829"/>
        <w:gridCol w:w="1039"/>
        <w:gridCol w:w="1052"/>
        <w:gridCol w:w="4403"/>
        <w:gridCol w:w="2011"/>
      </w:tblGrid>
      <w:tr w14:paraId="338F8B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8909" w:type="dxa"/>
            <w:gridSpan w:val="6"/>
            <w:tcBorders>
              <w:top w:val="single" w:color="auto" w:sz="4" w:space="0"/>
              <w:left w:val="single" w:color="auto" w:sz="4" w:space="0"/>
              <w:bottom w:val="single" w:color="auto" w:sz="4" w:space="0"/>
              <w:right w:val="single" w:color="auto" w:sz="4" w:space="0"/>
            </w:tcBorders>
            <w:vAlign w:val="center"/>
          </w:tcPr>
          <w:p w14:paraId="47C7F0AC">
            <w:pPr>
              <w:spacing w:line="360" w:lineRule="auto"/>
              <w:jc w:val="left"/>
              <w:rPr>
                <w:rFonts w:ascii="宋体" w:hAnsi="宋体"/>
                <w:b/>
                <w:szCs w:val="21"/>
              </w:rPr>
            </w:pPr>
            <w:r>
              <w:rPr>
                <w:rFonts w:hint="eastAsia" w:ascii="宋体" w:hAnsi="宋体"/>
                <w:b/>
                <w:szCs w:val="21"/>
              </w:rPr>
              <w:t>一、技术参数需求</w:t>
            </w:r>
          </w:p>
        </w:tc>
        <w:tc>
          <w:tcPr>
            <w:tcW w:w="2011" w:type="dxa"/>
            <w:tcBorders>
              <w:top w:val="single" w:color="auto" w:sz="4" w:space="0"/>
              <w:left w:val="single" w:color="auto" w:sz="4" w:space="0"/>
              <w:bottom w:val="single" w:color="auto" w:sz="4" w:space="0"/>
              <w:right w:val="single" w:color="auto" w:sz="4" w:space="0"/>
            </w:tcBorders>
            <w:vAlign w:val="center"/>
          </w:tcPr>
          <w:p w14:paraId="2AFC3D8E">
            <w:pPr>
              <w:spacing w:line="360" w:lineRule="auto"/>
              <w:jc w:val="left"/>
              <w:rPr>
                <w:rFonts w:hint="eastAsia" w:ascii="宋体" w:hAnsi="宋体"/>
                <w:b/>
                <w:szCs w:val="21"/>
              </w:rPr>
            </w:pPr>
          </w:p>
        </w:tc>
      </w:tr>
      <w:tr w14:paraId="2B304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782DE685">
            <w:pPr>
              <w:spacing w:line="360" w:lineRule="auto"/>
              <w:jc w:val="center"/>
              <w:rPr>
                <w:rFonts w:ascii="宋体" w:hAnsi="宋体"/>
                <w:b/>
                <w:szCs w:val="21"/>
              </w:rPr>
            </w:pPr>
            <w:r>
              <w:rPr>
                <w:rFonts w:hint="eastAsia" w:ascii="宋体" w:hAnsi="宋体"/>
                <w:b/>
                <w:szCs w:val="21"/>
              </w:rPr>
              <w:t>序号</w:t>
            </w:r>
          </w:p>
        </w:tc>
        <w:tc>
          <w:tcPr>
            <w:tcW w:w="1689" w:type="dxa"/>
            <w:gridSpan w:val="2"/>
            <w:tcBorders>
              <w:top w:val="single" w:color="auto" w:sz="4" w:space="0"/>
              <w:left w:val="single" w:color="auto" w:sz="4" w:space="0"/>
              <w:bottom w:val="single" w:color="auto" w:sz="4" w:space="0"/>
              <w:right w:val="single" w:color="auto" w:sz="4" w:space="0"/>
            </w:tcBorders>
            <w:vAlign w:val="center"/>
          </w:tcPr>
          <w:p w14:paraId="62542180">
            <w:pPr>
              <w:spacing w:line="360" w:lineRule="auto"/>
              <w:jc w:val="center"/>
              <w:rPr>
                <w:rFonts w:ascii="宋体" w:hAnsi="宋体"/>
                <w:b/>
                <w:szCs w:val="21"/>
              </w:rPr>
            </w:pPr>
            <w:r>
              <w:rPr>
                <w:rFonts w:hint="eastAsia" w:ascii="宋体" w:hAnsi="宋体"/>
                <w:b/>
                <w:szCs w:val="21"/>
              </w:rPr>
              <w:t>采购物品名称</w:t>
            </w:r>
          </w:p>
        </w:tc>
        <w:tc>
          <w:tcPr>
            <w:tcW w:w="1039" w:type="dxa"/>
            <w:tcBorders>
              <w:top w:val="single" w:color="auto" w:sz="4" w:space="0"/>
              <w:left w:val="single" w:color="auto" w:sz="4" w:space="0"/>
              <w:bottom w:val="single" w:color="auto" w:sz="4" w:space="0"/>
              <w:right w:val="single" w:color="auto" w:sz="4" w:space="0"/>
            </w:tcBorders>
            <w:vAlign w:val="center"/>
          </w:tcPr>
          <w:p w14:paraId="787649B1">
            <w:pPr>
              <w:spacing w:line="360" w:lineRule="auto"/>
              <w:jc w:val="center"/>
              <w:rPr>
                <w:rFonts w:ascii="宋体" w:hAnsi="宋体"/>
                <w:b/>
                <w:szCs w:val="21"/>
              </w:rPr>
            </w:pPr>
            <w:r>
              <w:rPr>
                <w:rFonts w:hint="eastAsia" w:ascii="宋体" w:hAnsi="宋体"/>
                <w:b/>
                <w:szCs w:val="21"/>
              </w:rPr>
              <w:t>参考</w:t>
            </w:r>
          </w:p>
          <w:p w14:paraId="166B416D">
            <w:pPr>
              <w:spacing w:line="360" w:lineRule="auto"/>
              <w:jc w:val="center"/>
              <w:rPr>
                <w:rFonts w:ascii="宋体" w:hAnsi="宋体"/>
                <w:b/>
                <w:szCs w:val="21"/>
              </w:rPr>
            </w:pPr>
            <w:r>
              <w:rPr>
                <w:rFonts w:hint="eastAsia" w:ascii="宋体" w:hAnsi="宋体"/>
                <w:b/>
                <w:szCs w:val="21"/>
              </w:rPr>
              <w:t>品牌</w:t>
            </w:r>
          </w:p>
        </w:tc>
        <w:tc>
          <w:tcPr>
            <w:tcW w:w="1052" w:type="dxa"/>
            <w:tcBorders>
              <w:top w:val="single" w:color="auto" w:sz="4" w:space="0"/>
              <w:left w:val="single" w:color="auto" w:sz="4" w:space="0"/>
              <w:bottom w:val="single" w:color="auto" w:sz="4" w:space="0"/>
              <w:right w:val="single" w:color="auto" w:sz="4" w:space="0"/>
            </w:tcBorders>
            <w:vAlign w:val="center"/>
          </w:tcPr>
          <w:p w14:paraId="4946CC52">
            <w:pPr>
              <w:spacing w:line="360" w:lineRule="auto"/>
              <w:jc w:val="center"/>
              <w:rPr>
                <w:rFonts w:ascii="宋体" w:hAnsi="宋体"/>
                <w:b/>
                <w:szCs w:val="21"/>
              </w:rPr>
            </w:pPr>
            <w:r>
              <w:rPr>
                <w:rFonts w:hint="eastAsia" w:ascii="宋体" w:hAnsi="宋体"/>
                <w:b/>
                <w:szCs w:val="21"/>
              </w:rPr>
              <w:t>数量</w:t>
            </w:r>
          </w:p>
          <w:p w14:paraId="37AA7651">
            <w:pPr>
              <w:spacing w:line="360" w:lineRule="auto"/>
              <w:jc w:val="center"/>
              <w:rPr>
                <w:rFonts w:ascii="宋体" w:hAnsi="宋体"/>
                <w:b/>
                <w:szCs w:val="21"/>
              </w:rPr>
            </w:pPr>
            <w:r>
              <w:rPr>
                <w:rFonts w:hint="eastAsia" w:ascii="宋体" w:hAnsi="宋体"/>
                <w:b/>
                <w:szCs w:val="21"/>
              </w:rPr>
              <w:t>单位</w:t>
            </w:r>
          </w:p>
        </w:tc>
        <w:tc>
          <w:tcPr>
            <w:tcW w:w="4403" w:type="dxa"/>
            <w:tcBorders>
              <w:top w:val="single" w:color="auto" w:sz="4" w:space="0"/>
              <w:left w:val="single" w:color="auto" w:sz="4" w:space="0"/>
              <w:bottom w:val="single" w:color="auto" w:sz="4" w:space="0"/>
              <w:right w:val="single" w:color="auto" w:sz="4" w:space="0"/>
            </w:tcBorders>
            <w:vAlign w:val="center"/>
          </w:tcPr>
          <w:p w14:paraId="48B0340D">
            <w:pPr>
              <w:spacing w:line="360" w:lineRule="auto"/>
              <w:jc w:val="center"/>
              <w:rPr>
                <w:rFonts w:ascii="宋体" w:hAnsi="宋体"/>
                <w:b/>
                <w:szCs w:val="21"/>
              </w:rPr>
            </w:pPr>
            <w:r>
              <w:rPr>
                <w:rFonts w:hint="eastAsia" w:ascii="宋体" w:hAnsi="宋体"/>
                <w:b/>
                <w:szCs w:val="21"/>
              </w:rPr>
              <w:t>项目要求及物品参数需求</w:t>
            </w:r>
          </w:p>
        </w:tc>
        <w:tc>
          <w:tcPr>
            <w:tcW w:w="2011" w:type="dxa"/>
            <w:tcBorders>
              <w:top w:val="single" w:color="auto" w:sz="4" w:space="0"/>
              <w:left w:val="single" w:color="auto" w:sz="4" w:space="0"/>
              <w:bottom w:val="single" w:color="auto" w:sz="4" w:space="0"/>
              <w:right w:val="single" w:color="auto" w:sz="4" w:space="0"/>
            </w:tcBorders>
            <w:vAlign w:val="center"/>
          </w:tcPr>
          <w:p w14:paraId="3C4D8825">
            <w:pPr>
              <w:spacing w:line="360" w:lineRule="auto"/>
              <w:jc w:val="center"/>
              <w:rPr>
                <w:rFonts w:hint="default" w:ascii="宋体" w:hAnsi="宋体" w:eastAsiaTheme="minorEastAsia"/>
                <w:b/>
                <w:szCs w:val="21"/>
                <w:lang w:val="en-US" w:eastAsia="zh-CN"/>
              </w:rPr>
            </w:pPr>
            <w:r>
              <w:rPr>
                <w:rFonts w:hint="eastAsia" w:ascii="宋体" w:hAnsi="宋体"/>
                <w:b/>
                <w:szCs w:val="21"/>
                <w:lang w:val="en-US" w:eastAsia="zh-CN"/>
              </w:rPr>
              <w:t>上控单价</w:t>
            </w:r>
          </w:p>
        </w:tc>
      </w:tr>
      <w:tr w14:paraId="329F1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6E8A9910">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689" w:type="dxa"/>
            <w:gridSpan w:val="2"/>
            <w:tcBorders>
              <w:top w:val="single" w:color="auto" w:sz="4" w:space="0"/>
              <w:left w:val="single" w:color="auto" w:sz="4" w:space="0"/>
              <w:bottom w:val="single" w:color="auto" w:sz="4" w:space="0"/>
              <w:right w:val="single" w:color="auto" w:sz="4" w:space="0"/>
            </w:tcBorders>
            <w:vAlign w:val="center"/>
          </w:tcPr>
          <w:p w14:paraId="7C95460E">
            <w:pPr>
              <w:autoSpaceDE w:val="0"/>
              <w:autoSpaceDN w:val="0"/>
              <w:adjustRightInd w:val="0"/>
              <w:spacing w:line="240" w:lineRule="auto"/>
              <w:jc w:val="both"/>
              <w:rPr>
                <w:rFonts w:hint="eastAsia" w:ascii="宋体" w:hAnsi="宋体" w:eastAsia="宋体" w:cs="宋体"/>
                <w:kern w:val="0"/>
                <w:sz w:val="21"/>
                <w:szCs w:val="21"/>
              </w:rPr>
            </w:pPr>
            <w:r>
              <w:rPr>
                <w:rFonts w:hint="eastAsia" w:ascii="宋体" w:hAnsi="宋体" w:eastAsia="宋体" w:cs="宋体"/>
                <w:kern w:val="0"/>
                <w:sz w:val="21"/>
                <w:szCs w:val="21"/>
              </w:rPr>
              <w:t>12导心电图机</w:t>
            </w:r>
          </w:p>
        </w:tc>
        <w:tc>
          <w:tcPr>
            <w:tcW w:w="1039" w:type="dxa"/>
            <w:tcBorders>
              <w:top w:val="single" w:color="auto" w:sz="4" w:space="0"/>
              <w:left w:val="single" w:color="auto" w:sz="4" w:space="0"/>
              <w:bottom w:val="single" w:color="auto" w:sz="4" w:space="0"/>
              <w:right w:val="single" w:color="auto" w:sz="4" w:space="0"/>
            </w:tcBorders>
            <w:vAlign w:val="center"/>
          </w:tcPr>
          <w:p w14:paraId="1459649C">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邦健、科曼、迈瑞</w:t>
            </w:r>
          </w:p>
        </w:tc>
        <w:tc>
          <w:tcPr>
            <w:tcW w:w="1052" w:type="dxa"/>
            <w:tcBorders>
              <w:top w:val="single" w:color="auto" w:sz="4" w:space="0"/>
              <w:left w:val="single" w:color="auto" w:sz="4" w:space="0"/>
              <w:bottom w:val="single" w:color="auto" w:sz="4" w:space="0"/>
              <w:right w:val="single" w:color="auto" w:sz="4" w:space="0"/>
            </w:tcBorders>
            <w:vAlign w:val="center"/>
          </w:tcPr>
          <w:p w14:paraId="5B991543">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2台</w:t>
            </w:r>
            <w:bookmarkStart w:id="0" w:name="_GoBack"/>
            <w:bookmarkEnd w:id="0"/>
          </w:p>
        </w:tc>
        <w:tc>
          <w:tcPr>
            <w:tcW w:w="4403" w:type="dxa"/>
            <w:tcBorders>
              <w:top w:val="single" w:color="auto" w:sz="4" w:space="0"/>
              <w:left w:val="single" w:color="auto" w:sz="4" w:space="0"/>
              <w:bottom w:val="single" w:color="auto" w:sz="4" w:space="0"/>
              <w:right w:val="single" w:color="auto" w:sz="4" w:space="0"/>
            </w:tcBorders>
            <w:vAlign w:val="center"/>
          </w:tcPr>
          <w:p w14:paraId="606BD191">
            <w:pPr>
              <w:spacing w:line="240" w:lineRule="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1. 采集方式：12导联同步采集、同步打印</w:t>
            </w:r>
          </w:p>
          <w:p w14:paraId="3DB5A3E4">
            <w:pPr>
              <w:spacing w:line="240" w:lineRule="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2.频率响应：0.05-250HZ，高记录精度，更适合采集成人、儿童心电波形</w:t>
            </w:r>
          </w:p>
          <w:p w14:paraId="0FD12FEF">
            <w:pPr>
              <w:spacing w:line="240" w:lineRule="auto"/>
              <w:rPr>
                <w:rFonts w:hint="eastAsia" w:ascii="宋体" w:hAnsi="宋体" w:eastAsia="宋体" w:cs="宋体"/>
                <w:color w:val="000000" w:themeColor="text1"/>
                <w:sz w:val="21"/>
                <w:szCs w:val="21"/>
              </w:rPr>
            </w:pPr>
            <w:r>
              <w:rPr>
                <w:rFonts w:hint="eastAsia"/>
              </w:rPr>
              <w:t>▲</w:t>
            </w:r>
            <w:r>
              <w:rPr>
                <w:rFonts w:hint="eastAsia" w:ascii="宋体" w:hAnsi="宋体" w:eastAsia="宋体" w:cs="宋体"/>
                <w:color w:val="000000" w:themeColor="text1"/>
                <w:sz w:val="21"/>
                <w:szCs w:val="21"/>
              </w:rPr>
              <w:t>3.</w:t>
            </w:r>
            <w:r>
              <w:rPr>
                <w:rFonts w:hint="eastAsia" w:ascii="宋体" w:hAnsi="宋体" w:eastAsia="宋体" w:cs="宋体"/>
                <w:color w:val="000000" w:themeColor="text1"/>
                <w:sz w:val="21"/>
                <w:szCs w:val="21"/>
                <w:lang w:val="en-US" w:eastAsia="zh-CN"/>
              </w:rPr>
              <w:t xml:space="preserve"> </w:t>
            </w:r>
            <w:r>
              <w:rPr>
                <w:rFonts w:hint="eastAsia" w:ascii="宋体" w:hAnsi="宋体" w:eastAsia="宋体" w:cs="宋体"/>
                <w:color w:val="000000" w:themeColor="text1"/>
                <w:sz w:val="21"/>
                <w:szCs w:val="21"/>
              </w:rPr>
              <w:t>显示屏：≥8.9寸彩色液晶屏，屏幕15度倾斜角度设计，背景网格显示</w:t>
            </w:r>
          </w:p>
          <w:p w14:paraId="1505D390">
            <w:pPr>
              <w:spacing w:line="240" w:lineRule="auto"/>
              <w:rPr>
                <w:rFonts w:hint="eastAsia" w:ascii="宋体" w:hAnsi="宋体" w:eastAsia="宋体" w:cs="宋体"/>
                <w:color w:val="000000" w:themeColor="text1"/>
                <w:sz w:val="21"/>
                <w:szCs w:val="21"/>
              </w:rPr>
            </w:pPr>
            <w:r>
              <w:rPr>
                <w:rFonts w:hint="eastAsia"/>
              </w:rPr>
              <w:t>▲</w:t>
            </w:r>
            <w:r>
              <w:rPr>
                <w:rFonts w:hint="eastAsia" w:ascii="宋体" w:hAnsi="宋体" w:eastAsia="宋体" w:cs="宋体"/>
                <w:color w:val="000000" w:themeColor="text1"/>
                <w:sz w:val="21"/>
                <w:szCs w:val="21"/>
              </w:rPr>
              <w:t>4.</w:t>
            </w:r>
            <w:r>
              <w:rPr>
                <w:rFonts w:hint="eastAsia" w:ascii="宋体" w:hAnsi="宋体" w:eastAsia="宋体" w:cs="宋体"/>
                <w:color w:val="000000" w:themeColor="text1"/>
                <w:sz w:val="21"/>
                <w:szCs w:val="21"/>
                <w:lang w:val="en-US" w:eastAsia="zh-CN"/>
              </w:rPr>
              <w:t xml:space="preserve"> </w:t>
            </w:r>
            <w:r>
              <w:rPr>
                <w:rFonts w:hint="eastAsia" w:ascii="宋体" w:hAnsi="宋体" w:eastAsia="宋体" w:cs="宋体"/>
                <w:color w:val="000000" w:themeColor="text1"/>
                <w:sz w:val="21"/>
                <w:szCs w:val="21"/>
              </w:rPr>
              <w:t>检查类型：常规心电图和体检心电图2种类型</w:t>
            </w:r>
          </w:p>
          <w:p w14:paraId="47EAA977">
            <w:pPr>
              <w:spacing w:line="240" w:lineRule="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5. 显示方式：具有心电波形同屏显示和分屏显示</w:t>
            </w:r>
          </w:p>
          <w:p w14:paraId="50119104">
            <w:pPr>
              <w:spacing w:line="240" w:lineRule="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6. 信息输入方式：支持触摸操作、手写输入、标准全键盘、条码扫描</w:t>
            </w:r>
          </w:p>
          <w:p w14:paraId="799E916F">
            <w:pPr>
              <w:spacing w:line="240" w:lineRule="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7. 数据存储：内部存储2000份病例，支持SD卡和U盘</w:t>
            </w:r>
          </w:p>
          <w:p w14:paraId="404D63E3">
            <w:pPr>
              <w:spacing w:line="240" w:lineRule="auto"/>
              <w:rPr>
                <w:rFonts w:hint="eastAsia" w:ascii="宋体" w:hAnsi="宋体" w:eastAsia="宋体" w:cs="宋体"/>
                <w:color w:val="000000" w:themeColor="text1"/>
                <w:sz w:val="21"/>
                <w:szCs w:val="21"/>
              </w:rPr>
            </w:pPr>
            <w:r>
              <w:rPr>
                <w:rFonts w:hint="eastAsia"/>
              </w:rPr>
              <w:t>▲</w:t>
            </w:r>
            <w:r>
              <w:rPr>
                <w:rFonts w:hint="eastAsia" w:ascii="宋体" w:hAnsi="宋体" w:eastAsia="宋体" w:cs="宋体"/>
                <w:color w:val="000000" w:themeColor="text1"/>
                <w:sz w:val="21"/>
                <w:szCs w:val="21"/>
              </w:rPr>
              <w:t>8.</w:t>
            </w:r>
            <w:r>
              <w:rPr>
                <w:rFonts w:hint="eastAsia" w:ascii="宋体" w:hAnsi="宋体" w:eastAsia="宋体" w:cs="宋体"/>
                <w:color w:val="000000" w:themeColor="text1"/>
                <w:sz w:val="21"/>
                <w:szCs w:val="21"/>
                <w:lang w:val="en-US" w:eastAsia="zh-CN"/>
              </w:rPr>
              <w:t xml:space="preserve"> </w:t>
            </w:r>
            <w:r>
              <w:rPr>
                <w:rFonts w:hint="eastAsia" w:ascii="宋体" w:hAnsi="宋体" w:eastAsia="宋体" w:cs="宋体"/>
                <w:color w:val="000000" w:themeColor="text1"/>
                <w:sz w:val="21"/>
                <w:szCs w:val="21"/>
              </w:rPr>
              <w:t>可支持心向量分析，起搏分析，支持HRV波形采集</w:t>
            </w:r>
          </w:p>
          <w:p w14:paraId="1DB0E80E">
            <w:pPr>
              <w:spacing w:line="240" w:lineRule="auto"/>
              <w:rPr>
                <w:rFonts w:hint="eastAsia" w:ascii="宋体" w:hAnsi="宋体" w:eastAsia="宋体" w:cs="宋体"/>
                <w:color w:val="000000" w:themeColor="text1"/>
                <w:sz w:val="21"/>
                <w:szCs w:val="21"/>
              </w:rPr>
            </w:pPr>
            <w:r>
              <w:rPr>
                <w:rFonts w:hint="eastAsia"/>
              </w:rPr>
              <w:t>▲</w:t>
            </w:r>
            <w:r>
              <w:rPr>
                <w:rFonts w:hint="eastAsia" w:ascii="宋体" w:hAnsi="宋体" w:eastAsia="宋体" w:cs="宋体"/>
                <w:color w:val="000000" w:themeColor="text1"/>
                <w:sz w:val="21"/>
                <w:szCs w:val="21"/>
              </w:rPr>
              <w:t>9.特有观察模式，特有手动/自动心率不齐检查，可自动检测并打印心率不齐波形</w:t>
            </w:r>
          </w:p>
          <w:p w14:paraId="75099958">
            <w:pPr>
              <w:spacing w:line="240" w:lineRule="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10. 超长时间电影回放，支持300秒钟波形冻结、全息电影回放，方便异常心电波形扑捉</w:t>
            </w:r>
          </w:p>
          <w:p w14:paraId="475E5737">
            <w:pPr>
              <w:spacing w:line="240" w:lineRule="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11. 具有导联脱落人体指示图，可直观提示脱落导联，方便医生操作</w:t>
            </w:r>
          </w:p>
          <w:p w14:paraId="1D48DD26">
            <w:pPr>
              <w:spacing w:line="240" w:lineRule="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12. 支持心率不齐检查、R-R分析、Cabrera等多种测量、分析报告</w:t>
            </w:r>
          </w:p>
          <w:p w14:paraId="499AF3F2">
            <w:pPr>
              <w:spacing w:line="240" w:lineRule="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13. 记录纸规格：210mm宽折叠纸</w:t>
            </w:r>
          </w:p>
          <w:p w14:paraId="4811B4CC">
            <w:pPr>
              <w:spacing w:line="240" w:lineRule="auto"/>
              <w:rPr>
                <w:rFonts w:hint="eastAsia" w:ascii="宋体" w:hAnsi="宋体" w:eastAsia="宋体" w:cs="宋体"/>
                <w:color w:val="000000" w:themeColor="text1"/>
                <w:sz w:val="21"/>
                <w:szCs w:val="21"/>
              </w:rPr>
            </w:pPr>
            <w:r>
              <w:rPr>
                <w:rFonts w:hint="eastAsia"/>
              </w:rPr>
              <w:t>▲</w:t>
            </w:r>
            <w:r>
              <w:rPr>
                <w:rFonts w:hint="eastAsia" w:ascii="宋体" w:hAnsi="宋体" w:eastAsia="宋体" w:cs="宋体"/>
                <w:color w:val="000000" w:themeColor="text1"/>
                <w:sz w:val="21"/>
                <w:szCs w:val="21"/>
              </w:rPr>
              <w:t>14. 记录模式：省纸、自动、手动、上传、周期、自动触发</w:t>
            </w:r>
          </w:p>
          <w:p w14:paraId="6DF83F24">
            <w:pPr>
              <w:spacing w:line="240" w:lineRule="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15. 交流电源：100-240V，50/60HZ；直流电源：可充电锂电池</w:t>
            </w:r>
          </w:p>
          <w:p w14:paraId="4A365E36">
            <w:pPr>
              <w:spacing w:line="240" w:lineRule="auto"/>
              <w:rPr>
                <w:rFonts w:hint="eastAsia" w:ascii="宋体" w:hAnsi="宋体" w:eastAsia="宋体" w:cs="宋体"/>
                <w:color w:val="000000" w:themeColor="text1"/>
                <w:sz w:val="21"/>
                <w:szCs w:val="21"/>
              </w:rPr>
            </w:pPr>
            <w:r>
              <w:rPr>
                <w:rFonts w:hint="eastAsia"/>
              </w:rPr>
              <w:t>▲</w:t>
            </w:r>
            <w:r>
              <w:rPr>
                <w:rFonts w:hint="eastAsia" w:ascii="宋体" w:hAnsi="宋体" w:eastAsia="宋体" w:cs="宋体"/>
                <w:color w:val="000000" w:themeColor="text1"/>
                <w:sz w:val="21"/>
                <w:szCs w:val="21"/>
              </w:rPr>
              <w:t>16. 为保证仪器稳定安全工作，产品需采用外置电源适配器，谨防电击/过载危险</w:t>
            </w:r>
          </w:p>
          <w:p w14:paraId="7BAB7C27">
            <w:pPr>
              <w:spacing w:line="240" w:lineRule="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17. 内置隐藏提手，方便医护人员携带下病房检查</w:t>
            </w:r>
          </w:p>
          <w:p w14:paraId="4EBD9F8E">
            <w:pPr>
              <w:spacing w:line="240" w:lineRule="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18. 产品需获得CE、FDA认证</w:t>
            </w:r>
          </w:p>
          <w:p w14:paraId="0074E37F">
            <w:pPr>
              <w:spacing w:line="240" w:lineRule="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19. 公司需通过ISO13485质量体系认证</w:t>
            </w:r>
          </w:p>
        </w:tc>
        <w:tc>
          <w:tcPr>
            <w:tcW w:w="2011" w:type="dxa"/>
            <w:tcBorders>
              <w:top w:val="single" w:color="auto" w:sz="4" w:space="0"/>
              <w:left w:val="single" w:color="auto" w:sz="4" w:space="0"/>
              <w:bottom w:val="single" w:color="auto" w:sz="4" w:space="0"/>
              <w:right w:val="single" w:color="auto" w:sz="4" w:space="0"/>
            </w:tcBorders>
            <w:vAlign w:val="center"/>
          </w:tcPr>
          <w:p w14:paraId="7C33249B">
            <w:pPr>
              <w:spacing w:line="240" w:lineRule="auto"/>
              <w:rPr>
                <w:rFonts w:hint="default"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35000元</w:t>
            </w:r>
          </w:p>
        </w:tc>
      </w:tr>
      <w:tr w14:paraId="4249E9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10920" w:type="dxa"/>
            <w:gridSpan w:val="7"/>
            <w:tcBorders>
              <w:top w:val="single" w:color="auto" w:sz="4" w:space="0"/>
              <w:left w:val="single" w:color="auto" w:sz="4" w:space="0"/>
              <w:bottom w:val="single" w:color="auto" w:sz="4" w:space="0"/>
              <w:right w:val="single" w:color="auto" w:sz="4" w:space="0"/>
            </w:tcBorders>
            <w:vAlign w:val="center"/>
          </w:tcPr>
          <w:p w14:paraId="4B745C91">
            <w:pPr>
              <w:tabs>
                <w:tab w:val="left" w:pos="1820"/>
              </w:tabs>
              <w:spacing w:line="360" w:lineRule="auto"/>
              <w:rPr>
                <w:rFonts w:hint="eastAsia" w:ascii="宋体" w:hAnsi="宋体" w:cs="宋体"/>
                <w:kern w:val="0"/>
                <w:szCs w:val="21"/>
              </w:rPr>
            </w:pPr>
            <w:r>
              <w:rPr>
                <w:rFonts w:hint="eastAsia" w:ascii="宋体" w:hAnsi="宋体" w:cs="宋体"/>
                <w:kern w:val="0"/>
                <w:szCs w:val="21"/>
              </w:rPr>
              <w:t>二、商务需求</w:t>
            </w:r>
          </w:p>
        </w:tc>
      </w:tr>
      <w:tr w14:paraId="7E677A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586" w:type="dxa"/>
            <w:gridSpan w:val="2"/>
            <w:tcBorders>
              <w:top w:val="single" w:color="auto" w:sz="4" w:space="0"/>
              <w:left w:val="single" w:color="auto" w:sz="4" w:space="0"/>
              <w:bottom w:val="single" w:color="auto" w:sz="4" w:space="0"/>
              <w:right w:val="single" w:color="auto" w:sz="4" w:space="0"/>
            </w:tcBorders>
            <w:vAlign w:val="center"/>
          </w:tcPr>
          <w:p w14:paraId="58D3C125">
            <w:pPr>
              <w:spacing w:line="240" w:lineRule="auto"/>
              <w:jc w:val="left"/>
              <w:rPr>
                <w:rFonts w:hint="eastAsia" w:ascii="宋体" w:hAnsi="宋体" w:eastAsia="宋体" w:cs="宋体"/>
                <w:bCs/>
                <w:sz w:val="18"/>
                <w:szCs w:val="18"/>
                <w:lang w:val="zh-CN"/>
              </w:rPr>
            </w:pPr>
            <w:r>
              <w:rPr>
                <w:rFonts w:hint="eastAsia" w:ascii="宋体" w:hAnsi="宋体" w:eastAsia="宋体" w:cs="宋体"/>
                <w:color w:val="auto"/>
                <w:kern w:val="0"/>
                <w:sz w:val="18"/>
                <w:szCs w:val="18"/>
                <w:highlight w:val="none"/>
                <w:lang w:bidi="ar"/>
              </w:rPr>
              <w:t>报价要求</w:t>
            </w:r>
          </w:p>
        </w:tc>
        <w:tc>
          <w:tcPr>
            <w:tcW w:w="9334" w:type="dxa"/>
            <w:gridSpan w:val="5"/>
            <w:tcBorders>
              <w:top w:val="single" w:color="auto" w:sz="4" w:space="0"/>
              <w:left w:val="single" w:color="auto" w:sz="4" w:space="0"/>
              <w:bottom w:val="single" w:color="auto" w:sz="4" w:space="0"/>
              <w:right w:val="single" w:color="auto" w:sz="4" w:space="0"/>
            </w:tcBorders>
            <w:vAlign w:val="top"/>
          </w:tcPr>
          <w:p w14:paraId="0FFC2BE1">
            <w:pPr>
              <w:spacing w:line="240" w:lineRule="auto"/>
              <w:jc w:val="left"/>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1、</w:t>
            </w:r>
            <w:r>
              <w:rPr>
                <w:rFonts w:hint="eastAsia" w:ascii="宋体" w:hAnsi="宋体" w:eastAsia="宋体" w:cs="宋体"/>
                <w:color w:val="auto"/>
                <w:kern w:val="0"/>
                <w:sz w:val="18"/>
                <w:szCs w:val="18"/>
                <w:highlight w:val="none"/>
                <w:lang w:val="en-US" w:eastAsia="zh-CN" w:bidi="ar"/>
              </w:rPr>
              <w:t>供应商</w:t>
            </w:r>
            <w:r>
              <w:rPr>
                <w:rFonts w:hint="eastAsia" w:ascii="宋体" w:hAnsi="宋体" w:eastAsia="宋体" w:cs="宋体"/>
                <w:color w:val="auto"/>
                <w:kern w:val="0"/>
                <w:sz w:val="18"/>
                <w:szCs w:val="18"/>
                <w:highlight w:val="none"/>
                <w:lang w:bidi="ar"/>
              </w:rPr>
              <w:t xml:space="preserve">保证向采购人提供的货物是全新、完整、未使用过的。 </w:t>
            </w:r>
          </w:p>
          <w:p w14:paraId="7EFBE92B">
            <w:pPr>
              <w:spacing w:line="240" w:lineRule="auto"/>
              <w:jc w:val="left"/>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 xml:space="preserve">2、询价报价为采购人指定地点的现场交货价，包括但不仅限于： </w:t>
            </w:r>
          </w:p>
          <w:p w14:paraId="12A2A719">
            <w:pPr>
              <w:spacing w:line="240" w:lineRule="auto"/>
              <w:jc w:val="left"/>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 xml:space="preserve">（1）货物的价格：包括货款、配件、安装调试费、验收费等； </w:t>
            </w:r>
          </w:p>
          <w:p w14:paraId="7251CE3E">
            <w:pPr>
              <w:spacing w:line="240" w:lineRule="auto"/>
              <w:jc w:val="left"/>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 xml:space="preserve">（2）货物的标准附件、备品备件、专用工具的价格； </w:t>
            </w:r>
          </w:p>
          <w:p w14:paraId="6608118E">
            <w:pPr>
              <w:spacing w:line="240" w:lineRule="auto"/>
              <w:jc w:val="left"/>
              <w:rPr>
                <w:rFonts w:hint="eastAsia" w:ascii="宋体" w:hAnsi="宋体" w:eastAsia="宋体" w:cs="宋体"/>
                <w:bCs/>
                <w:sz w:val="18"/>
                <w:szCs w:val="18"/>
                <w:lang w:val="zh-CN"/>
              </w:rPr>
            </w:pPr>
            <w:r>
              <w:rPr>
                <w:rFonts w:hint="eastAsia" w:ascii="宋体" w:hAnsi="宋体" w:eastAsia="宋体" w:cs="宋体"/>
                <w:color w:val="auto"/>
                <w:kern w:val="0"/>
                <w:sz w:val="18"/>
                <w:szCs w:val="18"/>
                <w:highlight w:val="none"/>
                <w:lang w:bidi="ar"/>
              </w:rPr>
              <w:t>（3）运输、装卸、垃圾清理搬运、售后服务费、保险费和各项税金；</w:t>
            </w:r>
          </w:p>
        </w:tc>
      </w:tr>
      <w:tr w14:paraId="5D6FA9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58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0D9B43">
            <w:pPr>
              <w:spacing w:line="240" w:lineRule="auto"/>
              <w:jc w:val="left"/>
              <w:rPr>
                <w:rFonts w:hint="eastAsia" w:ascii="宋体" w:hAnsi="宋体" w:eastAsia="宋体" w:cs="宋体"/>
                <w:bCs/>
                <w:kern w:val="2"/>
                <w:sz w:val="18"/>
                <w:szCs w:val="18"/>
                <w:lang w:val="en-US" w:eastAsia="zh-CN" w:bidi="ar-SA"/>
              </w:rPr>
            </w:pPr>
            <w:r>
              <w:rPr>
                <w:rFonts w:hint="eastAsia" w:ascii="宋体" w:hAnsi="宋体" w:eastAsia="宋体" w:cs="宋体"/>
                <w:bCs/>
                <w:sz w:val="18"/>
                <w:szCs w:val="18"/>
              </w:rPr>
              <w:t>合同签订要求</w:t>
            </w:r>
          </w:p>
        </w:tc>
        <w:tc>
          <w:tcPr>
            <w:tcW w:w="933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8136BBE">
            <w:pPr>
              <w:spacing w:line="240" w:lineRule="auto"/>
              <w:jc w:val="left"/>
              <w:rPr>
                <w:rFonts w:hint="eastAsia" w:ascii="宋体" w:hAnsi="宋体" w:eastAsia="宋体" w:cs="宋体"/>
                <w:bCs/>
                <w:kern w:val="0"/>
                <w:sz w:val="18"/>
                <w:szCs w:val="18"/>
                <w:lang w:val="en-US" w:eastAsia="zh-CN" w:bidi="ar"/>
              </w:rPr>
            </w:pPr>
            <w:r>
              <w:rPr>
                <w:rFonts w:hint="eastAsia" w:ascii="宋体" w:hAnsi="宋体" w:eastAsia="宋体" w:cs="宋体"/>
                <w:bCs/>
                <w:sz w:val="18"/>
                <w:szCs w:val="18"/>
              </w:rPr>
              <w:t>合</w:t>
            </w:r>
            <w:r>
              <w:rPr>
                <w:rFonts w:hint="eastAsia" w:ascii="宋体" w:hAnsi="宋体" w:eastAsia="宋体" w:cs="宋体"/>
                <w:bCs/>
                <w:sz w:val="18"/>
                <w:szCs w:val="18"/>
                <w:lang w:val="zh-CN"/>
              </w:rPr>
              <w:t>同签订日期成交公告发布后</w:t>
            </w:r>
            <w:r>
              <w:rPr>
                <w:rFonts w:hint="eastAsia" w:ascii="宋体" w:hAnsi="宋体" w:eastAsia="宋体" w:cs="宋体"/>
                <w:bCs/>
                <w:sz w:val="18"/>
                <w:szCs w:val="18"/>
              </w:rPr>
              <w:t>15</w:t>
            </w:r>
            <w:r>
              <w:rPr>
                <w:rFonts w:hint="eastAsia" w:ascii="宋体" w:hAnsi="宋体" w:eastAsia="宋体" w:cs="宋体"/>
                <w:bCs/>
                <w:sz w:val="18"/>
                <w:szCs w:val="18"/>
                <w:lang w:val="zh-CN"/>
              </w:rPr>
              <w:t>日内</w:t>
            </w:r>
          </w:p>
        </w:tc>
      </w:tr>
      <w:tr w14:paraId="47FA21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586" w:type="dxa"/>
            <w:gridSpan w:val="2"/>
            <w:tcBorders>
              <w:top w:val="single" w:color="auto" w:sz="4" w:space="0"/>
              <w:left w:val="single" w:color="auto" w:sz="4" w:space="0"/>
              <w:bottom w:val="single" w:color="auto" w:sz="4" w:space="0"/>
              <w:right w:val="single" w:color="auto" w:sz="4" w:space="0"/>
            </w:tcBorders>
            <w:vAlign w:val="center"/>
          </w:tcPr>
          <w:p w14:paraId="5611C99C">
            <w:pPr>
              <w:autoSpaceDE w:val="0"/>
              <w:autoSpaceDN w:val="0"/>
              <w:adjustRightInd w:val="0"/>
              <w:spacing w:line="240" w:lineRule="auto"/>
              <w:jc w:val="left"/>
              <w:rPr>
                <w:rFonts w:hint="eastAsia" w:ascii="宋体" w:hAnsi="宋体" w:eastAsia="宋体" w:cs="宋体"/>
                <w:kern w:val="0"/>
                <w:sz w:val="18"/>
                <w:szCs w:val="18"/>
              </w:rPr>
            </w:pPr>
            <w:r>
              <w:rPr>
                <w:rFonts w:hint="eastAsia" w:ascii="宋体" w:hAnsi="宋体" w:eastAsia="宋体" w:cs="宋体"/>
                <w:bCs/>
                <w:sz w:val="18"/>
                <w:szCs w:val="18"/>
                <w:lang w:val="zh-CN"/>
              </w:rPr>
              <w:t>交付时间及地点</w:t>
            </w:r>
          </w:p>
        </w:tc>
        <w:tc>
          <w:tcPr>
            <w:tcW w:w="9334" w:type="dxa"/>
            <w:gridSpan w:val="5"/>
            <w:tcBorders>
              <w:top w:val="single" w:color="auto" w:sz="4" w:space="0"/>
              <w:left w:val="single" w:color="auto" w:sz="4" w:space="0"/>
              <w:bottom w:val="single" w:color="auto" w:sz="4" w:space="0"/>
              <w:right w:val="single" w:color="auto" w:sz="4" w:space="0"/>
            </w:tcBorders>
            <w:vAlign w:val="center"/>
          </w:tcPr>
          <w:p w14:paraId="30483AE5">
            <w:pPr>
              <w:numPr>
                <w:ilvl w:val="0"/>
                <w:numId w:val="1"/>
              </w:numPr>
              <w:spacing w:line="240" w:lineRule="auto"/>
              <w:jc w:val="left"/>
              <w:rPr>
                <w:rFonts w:hint="eastAsia" w:ascii="宋体" w:hAnsi="宋体" w:eastAsia="宋体" w:cs="宋体"/>
                <w:color w:val="auto"/>
                <w:kern w:val="0"/>
                <w:sz w:val="18"/>
                <w:szCs w:val="18"/>
                <w:highlight w:val="none"/>
                <w:lang w:val="zh-CN" w:bidi="ar"/>
              </w:rPr>
            </w:pPr>
            <w:r>
              <w:rPr>
                <w:rFonts w:hint="eastAsia" w:ascii="宋体" w:hAnsi="宋体" w:eastAsia="宋体" w:cs="宋体"/>
                <w:color w:val="auto"/>
                <w:kern w:val="0"/>
                <w:sz w:val="18"/>
                <w:szCs w:val="18"/>
                <w:highlight w:val="none"/>
                <w:lang w:bidi="ar"/>
              </w:rPr>
              <w:t>交付时间：</w:t>
            </w:r>
            <w:r>
              <w:rPr>
                <w:rFonts w:hint="eastAsia" w:ascii="宋体" w:hAnsi="宋体" w:eastAsia="宋体" w:cs="宋体"/>
                <w:color w:val="auto"/>
                <w:kern w:val="0"/>
                <w:sz w:val="18"/>
                <w:szCs w:val="18"/>
                <w:highlight w:val="none"/>
                <w:lang w:val="zh-CN" w:bidi="ar"/>
              </w:rPr>
              <w:t>自合同签订之日起</w:t>
            </w:r>
            <w:r>
              <w:rPr>
                <w:rFonts w:hint="eastAsia" w:ascii="宋体" w:hAnsi="宋体" w:eastAsia="宋体" w:cs="宋体"/>
                <w:color w:val="auto"/>
                <w:kern w:val="0"/>
                <w:sz w:val="18"/>
                <w:szCs w:val="18"/>
                <w:highlight w:val="none"/>
                <w:lang w:bidi="ar"/>
              </w:rPr>
              <w:t xml:space="preserve">   </w:t>
            </w:r>
            <w:r>
              <w:rPr>
                <w:rFonts w:hint="eastAsia" w:ascii="宋体" w:hAnsi="宋体" w:eastAsia="宋体" w:cs="宋体"/>
                <w:color w:val="auto"/>
                <w:kern w:val="0"/>
                <w:sz w:val="18"/>
                <w:szCs w:val="18"/>
                <w:highlight w:val="none"/>
                <w:lang w:val="en-US" w:eastAsia="zh-CN" w:bidi="ar"/>
              </w:rPr>
              <w:t>15</w:t>
            </w:r>
            <w:r>
              <w:rPr>
                <w:rFonts w:hint="eastAsia" w:ascii="宋体" w:hAnsi="宋体" w:eastAsia="宋体" w:cs="宋体"/>
                <w:color w:val="auto"/>
                <w:kern w:val="0"/>
                <w:sz w:val="18"/>
                <w:szCs w:val="18"/>
                <w:highlight w:val="none"/>
                <w:lang w:bidi="ar"/>
              </w:rPr>
              <w:t xml:space="preserve">  日</w:t>
            </w:r>
            <w:r>
              <w:rPr>
                <w:rFonts w:hint="eastAsia" w:ascii="宋体" w:hAnsi="宋体" w:eastAsia="宋体" w:cs="宋体"/>
                <w:color w:val="auto"/>
                <w:kern w:val="0"/>
                <w:sz w:val="18"/>
                <w:szCs w:val="18"/>
                <w:highlight w:val="none"/>
                <w:lang w:val="zh-CN" w:bidi="ar"/>
              </w:rPr>
              <w:t>内交付。</w:t>
            </w:r>
          </w:p>
          <w:p w14:paraId="52E9825F">
            <w:pPr>
              <w:numPr>
                <w:ilvl w:val="0"/>
                <w:numId w:val="1"/>
              </w:numPr>
              <w:spacing w:line="240" w:lineRule="auto"/>
              <w:jc w:val="left"/>
              <w:rPr>
                <w:rFonts w:hint="eastAsia" w:ascii="宋体" w:hAnsi="宋体" w:eastAsia="宋体" w:cs="宋体"/>
                <w:color w:val="auto"/>
                <w:kern w:val="0"/>
                <w:sz w:val="18"/>
                <w:szCs w:val="18"/>
                <w:highlight w:val="none"/>
                <w:lang w:val="zh-CN" w:bidi="ar"/>
              </w:rPr>
            </w:pPr>
            <w:r>
              <w:rPr>
                <w:rFonts w:hint="eastAsia" w:ascii="宋体" w:hAnsi="宋体" w:eastAsia="宋体" w:cs="宋体"/>
                <w:color w:val="auto"/>
                <w:kern w:val="0"/>
                <w:sz w:val="18"/>
                <w:szCs w:val="18"/>
                <w:highlight w:val="none"/>
                <w:lang w:bidi="ar"/>
              </w:rPr>
              <w:t>交货地点：广西南宁市西乡塘区明秀东路179号广西中医药大学明秀校区</w:t>
            </w:r>
            <w:r>
              <w:rPr>
                <w:rFonts w:hint="eastAsia" w:ascii="宋体" w:hAnsi="宋体" w:eastAsia="宋体" w:cs="宋体"/>
                <w:color w:val="auto"/>
                <w:kern w:val="0"/>
                <w:sz w:val="18"/>
                <w:szCs w:val="18"/>
                <w:highlight w:val="none"/>
                <w:lang w:eastAsia="zh-CN" w:bidi="ar"/>
              </w:rPr>
              <w:t>。</w:t>
            </w:r>
          </w:p>
          <w:p w14:paraId="5B1443D5">
            <w:pPr>
              <w:autoSpaceDE w:val="0"/>
              <w:autoSpaceDN w:val="0"/>
              <w:adjustRightInd w:val="0"/>
              <w:spacing w:line="240" w:lineRule="auto"/>
              <w:jc w:val="left"/>
              <w:rPr>
                <w:rFonts w:hint="eastAsia" w:ascii="宋体" w:hAnsi="宋体" w:eastAsia="宋体" w:cs="宋体"/>
                <w:color w:val="000000" w:themeColor="text1"/>
                <w:sz w:val="18"/>
                <w:szCs w:val="18"/>
              </w:rPr>
            </w:pPr>
            <w:r>
              <w:rPr>
                <w:rFonts w:hint="eastAsia" w:ascii="宋体" w:hAnsi="宋体" w:eastAsia="宋体" w:cs="宋体"/>
                <w:color w:val="auto"/>
                <w:kern w:val="0"/>
                <w:sz w:val="18"/>
                <w:szCs w:val="18"/>
                <w:highlight w:val="none"/>
                <w:lang w:val="en-US" w:eastAsia="zh-CN" w:bidi="ar"/>
              </w:rPr>
              <w:t>（3）成交人</w:t>
            </w:r>
            <w:r>
              <w:rPr>
                <w:rFonts w:hint="eastAsia" w:ascii="宋体" w:hAnsi="宋体" w:eastAsia="宋体" w:cs="宋体"/>
                <w:color w:val="auto"/>
                <w:kern w:val="0"/>
                <w:sz w:val="18"/>
                <w:szCs w:val="18"/>
                <w:highlight w:val="none"/>
                <w:lang w:val="zh-CN" w:bidi="ar"/>
              </w:rPr>
              <w:t>须在合同签订后15个自然日内完成全部设备到货</w:t>
            </w:r>
            <w:r>
              <w:rPr>
                <w:rFonts w:hint="eastAsia" w:ascii="宋体" w:hAnsi="宋体" w:eastAsia="宋体" w:cs="宋体"/>
                <w:color w:val="auto"/>
                <w:kern w:val="0"/>
                <w:sz w:val="18"/>
                <w:szCs w:val="18"/>
                <w:highlight w:val="none"/>
                <w:lang w:val="en-US" w:eastAsia="zh-CN" w:bidi="ar"/>
              </w:rPr>
              <w:t>安装</w:t>
            </w:r>
            <w:r>
              <w:rPr>
                <w:rFonts w:hint="eastAsia" w:ascii="宋体" w:hAnsi="宋体" w:eastAsia="宋体" w:cs="宋体"/>
                <w:color w:val="auto"/>
                <w:kern w:val="0"/>
                <w:sz w:val="18"/>
                <w:szCs w:val="18"/>
                <w:highlight w:val="none"/>
                <w:lang w:val="zh-CN" w:bidi="ar"/>
              </w:rPr>
              <w:t>，每逾期1日按合同总金额的3‰支付违约金，逾期超过7日的，采购方有权单方面解除合同并要求赔偿合同总金额20%的损失。</w:t>
            </w:r>
          </w:p>
        </w:tc>
      </w:tr>
      <w:tr w14:paraId="588571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58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0E77E3">
            <w:pPr>
              <w:spacing w:line="240" w:lineRule="auto"/>
              <w:jc w:val="left"/>
              <w:rPr>
                <w:rFonts w:hint="eastAsia" w:ascii="宋体" w:hAnsi="宋体" w:eastAsia="宋体" w:cs="宋体"/>
                <w:bCs/>
                <w:kern w:val="2"/>
                <w:sz w:val="18"/>
                <w:szCs w:val="18"/>
                <w:lang w:val="zh-CN" w:eastAsia="zh-CN" w:bidi="ar-SA"/>
              </w:rPr>
            </w:pPr>
            <w:r>
              <w:rPr>
                <w:rStyle w:val="40"/>
                <w:rFonts w:hint="eastAsia" w:ascii="宋体" w:hAnsi="宋体" w:eastAsia="宋体" w:cs="宋体"/>
                <w:bCs/>
                <w:color w:val="auto"/>
                <w:sz w:val="18"/>
                <w:szCs w:val="18"/>
              </w:rPr>
              <w:t>质量及服务要求</w:t>
            </w:r>
          </w:p>
        </w:tc>
        <w:tc>
          <w:tcPr>
            <w:tcW w:w="933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5BF01E3">
            <w:pPr>
              <w:numPr>
                <w:ilvl w:val="0"/>
                <w:numId w:val="2"/>
              </w:numPr>
              <w:spacing w:line="240" w:lineRule="auto"/>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质量和保修期要求：按国家有关产品“三包”规定执行“三包”， 提供的保修期不得少于质保期，质保期</w:t>
            </w:r>
            <w:r>
              <w:rPr>
                <w:rFonts w:hint="eastAsia" w:ascii="宋体" w:hAnsi="宋体" w:eastAsia="宋体" w:cs="宋体"/>
                <w:bCs/>
                <w:kern w:val="0"/>
                <w:sz w:val="18"/>
                <w:szCs w:val="18"/>
                <w:lang w:val="en-US" w:eastAsia="zh-CN" w:bidi="ar"/>
              </w:rPr>
              <w:t>3</w:t>
            </w:r>
            <w:r>
              <w:rPr>
                <w:rFonts w:hint="eastAsia" w:ascii="宋体" w:hAnsi="宋体" w:eastAsia="宋体" w:cs="宋体"/>
                <w:bCs/>
                <w:kern w:val="0"/>
                <w:sz w:val="18"/>
                <w:szCs w:val="18"/>
                <w:lang w:bidi="ar"/>
              </w:rPr>
              <w:t>年，自最终验收合格之日起计算。所提供的货物产品必须是未使用过的全新产品。</w:t>
            </w:r>
          </w:p>
          <w:p w14:paraId="2C9E84AD">
            <w:pPr>
              <w:spacing w:line="240" w:lineRule="auto"/>
              <w:ind w:left="90"/>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2.质保期内定期回访并维护，每年不少于 2 次。提供售后服务联系人姓名、电话、详细地址等清单。</w:t>
            </w:r>
          </w:p>
          <w:p w14:paraId="68244CC9">
            <w:pPr>
              <w:spacing w:line="240" w:lineRule="auto"/>
              <w:ind w:left="90"/>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 xml:space="preserve">3.远程技术支持：乙方应具有稳定的技术支持队伍和完善的服务支持网络，提供 24 小时技术支持服务，及时响应甲方的技术服务支持需求，提出有效的解决方案，解决甲方在货物使用过程中遇到的实际问题。 </w:t>
            </w:r>
          </w:p>
          <w:p w14:paraId="55797037">
            <w:pPr>
              <w:spacing w:line="240" w:lineRule="auto"/>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 xml:space="preserve">4.现场技术支持：对于通过电话、邮件等远程技术支持不能解决的问题，乙方应在 2 小时内派遣相关人员赶赴现场， 6 小 时内维修完毕；发生紧急抢修事故的，乙方应在接到甲方通知后 12 小时内到达现场抢修，并于到达现场 24 小时之内排除故障。 </w:t>
            </w:r>
          </w:p>
          <w:p w14:paraId="45E4E4B3">
            <w:pPr>
              <w:spacing w:line="240" w:lineRule="auto"/>
              <w:jc w:val="left"/>
              <w:rPr>
                <w:rFonts w:hint="eastAsia" w:ascii="宋体" w:hAnsi="宋体" w:eastAsia="宋体" w:cs="宋体"/>
                <w:bCs/>
                <w:kern w:val="2"/>
                <w:sz w:val="18"/>
                <w:szCs w:val="18"/>
                <w:lang w:val="en-US" w:eastAsia="zh-CN" w:bidi="ar-SA"/>
              </w:rPr>
            </w:pPr>
            <w:r>
              <w:rPr>
                <w:rFonts w:hint="eastAsia" w:ascii="宋体" w:hAnsi="宋体" w:eastAsia="宋体" w:cs="宋体"/>
                <w:bCs/>
                <w:kern w:val="0"/>
                <w:sz w:val="18"/>
                <w:szCs w:val="18"/>
                <w:lang w:bidi="ar"/>
              </w:rPr>
              <w:t>5.乙方未在约定时间内修复的或同一货物经 3 次维修后仍不能稳定、可靠运行的，甲方有权要求乙方免费更换。返修或更换后的部件 保修期应重新计算。</w:t>
            </w:r>
          </w:p>
        </w:tc>
      </w:tr>
      <w:tr w14:paraId="2E50C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58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00153C">
            <w:pPr>
              <w:spacing w:line="240" w:lineRule="auto"/>
              <w:jc w:val="left"/>
              <w:rPr>
                <w:rFonts w:hint="eastAsia" w:ascii="宋体" w:hAnsi="宋体" w:eastAsia="宋体" w:cs="宋体"/>
                <w:color w:val="auto"/>
                <w:kern w:val="0"/>
                <w:sz w:val="18"/>
                <w:szCs w:val="18"/>
                <w:highlight w:val="none"/>
                <w:lang w:val="zh-CN" w:eastAsia="zh-CN" w:bidi="ar"/>
              </w:rPr>
            </w:pPr>
            <w:r>
              <w:rPr>
                <w:rFonts w:hint="eastAsia" w:ascii="宋体" w:hAnsi="宋体" w:eastAsia="宋体" w:cs="宋体"/>
                <w:color w:val="auto"/>
                <w:kern w:val="0"/>
                <w:sz w:val="18"/>
                <w:szCs w:val="18"/>
                <w:highlight w:val="none"/>
                <w:lang w:bidi="ar"/>
              </w:rPr>
              <w:t>包装和运输</w:t>
            </w:r>
          </w:p>
        </w:tc>
        <w:tc>
          <w:tcPr>
            <w:tcW w:w="9334" w:type="dxa"/>
            <w:gridSpan w:val="5"/>
            <w:tcBorders>
              <w:top w:val="single" w:color="auto" w:sz="4" w:space="0"/>
              <w:left w:val="single" w:color="auto" w:sz="4" w:space="0"/>
              <w:bottom w:val="single" w:color="auto" w:sz="4" w:space="0"/>
              <w:right w:val="single" w:color="auto" w:sz="4" w:space="0"/>
            </w:tcBorders>
            <w:shd w:val="clear" w:color="auto" w:fill="auto"/>
            <w:vAlign w:val="top"/>
          </w:tcPr>
          <w:p w14:paraId="2C6B70FC">
            <w:pPr>
              <w:spacing w:line="240" w:lineRule="auto"/>
              <w:jc w:val="left"/>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成交人</w:t>
            </w:r>
            <w:r>
              <w:rPr>
                <w:rFonts w:hint="eastAsia" w:ascii="宋体" w:hAnsi="宋体" w:eastAsia="宋体" w:cs="宋体"/>
                <w:color w:val="auto"/>
                <w:kern w:val="0"/>
                <w:sz w:val="18"/>
                <w:szCs w:val="18"/>
                <w:highlight w:val="none"/>
                <w:lang w:bidi="ar"/>
              </w:rPr>
              <w:t>提供的全部货物均应按国家标准中关于包装、储运指示标志的规定及其他相关规定进行包装。以确保货物安全无损地运抵采购人指定地点。</w:t>
            </w:r>
          </w:p>
        </w:tc>
      </w:tr>
      <w:tr w14:paraId="324517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58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2F7A42">
            <w:pPr>
              <w:spacing w:line="240" w:lineRule="auto"/>
              <w:jc w:val="left"/>
              <w:rPr>
                <w:rFonts w:hint="eastAsia" w:ascii="宋体" w:hAnsi="宋体" w:eastAsia="宋体" w:cs="宋体"/>
                <w:color w:val="auto"/>
                <w:kern w:val="0"/>
                <w:sz w:val="18"/>
                <w:szCs w:val="18"/>
                <w:highlight w:val="none"/>
                <w:lang w:val="zh-CN" w:eastAsia="zh-CN" w:bidi="ar"/>
              </w:rPr>
            </w:pPr>
            <w:r>
              <w:rPr>
                <w:rFonts w:hint="eastAsia" w:ascii="宋体" w:hAnsi="宋体" w:eastAsia="宋体" w:cs="宋体"/>
                <w:color w:val="auto"/>
                <w:kern w:val="0"/>
                <w:sz w:val="18"/>
                <w:szCs w:val="18"/>
                <w:highlight w:val="none"/>
                <w:lang w:bidi="ar"/>
              </w:rPr>
              <w:t>售后服务要求</w:t>
            </w:r>
          </w:p>
        </w:tc>
        <w:tc>
          <w:tcPr>
            <w:tcW w:w="9334" w:type="dxa"/>
            <w:gridSpan w:val="5"/>
            <w:tcBorders>
              <w:top w:val="single" w:color="auto" w:sz="4" w:space="0"/>
              <w:left w:val="single" w:color="auto" w:sz="4" w:space="0"/>
              <w:bottom w:val="single" w:color="auto" w:sz="4" w:space="0"/>
              <w:right w:val="single" w:color="auto" w:sz="4" w:space="0"/>
            </w:tcBorders>
            <w:shd w:val="clear" w:color="auto" w:fill="auto"/>
            <w:vAlign w:val="top"/>
          </w:tcPr>
          <w:p w14:paraId="7CC1E4E3">
            <w:pPr>
              <w:autoSpaceDE w:val="0"/>
              <w:autoSpaceDN w:val="0"/>
              <w:adjustRightInd w:val="0"/>
              <w:spacing w:line="240" w:lineRule="auto"/>
              <w:jc w:val="left"/>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bidi="ar"/>
              </w:rPr>
              <w:t>质保期为</w:t>
            </w:r>
            <w:r>
              <w:rPr>
                <w:rFonts w:hint="eastAsia" w:ascii="宋体" w:hAnsi="宋体" w:eastAsia="宋体" w:cs="宋体"/>
                <w:color w:val="auto"/>
                <w:kern w:val="0"/>
                <w:sz w:val="18"/>
                <w:szCs w:val="18"/>
                <w:highlight w:val="none"/>
                <w:u w:val="single"/>
                <w:lang w:val="en-US" w:eastAsia="zh-CN" w:bidi="ar"/>
              </w:rPr>
              <w:t>3</w:t>
            </w:r>
            <w:r>
              <w:rPr>
                <w:rFonts w:hint="eastAsia" w:ascii="宋体" w:hAnsi="宋体" w:eastAsia="宋体" w:cs="宋体"/>
                <w:color w:val="auto"/>
                <w:kern w:val="0"/>
                <w:sz w:val="18"/>
                <w:szCs w:val="18"/>
                <w:highlight w:val="none"/>
                <w:lang w:bidi="ar"/>
              </w:rPr>
              <w:t>年，验收合格之日起至质保期届满且经采购人方确认无任何质量问题时止。在质保期内，</w:t>
            </w:r>
            <w:r>
              <w:rPr>
                <w:rFonts w:hint="eastAsia" w:ascii="宋体" w:hAnsi="宋体" w:eastAsia="宋体" w:cs="宋体"/>
                <w:color w:val="auto"/>
                <w:kern w:val="0"/>
                <w:sz w:val="18"/>
                <w:szCs w:val="18"/>
                <w:highlight w:val="none"/>
                <w:lang w:val="en-US" w:eastAsia="zh-CN" w:bidi="ar"/>
              </w:rPr>
              <w:t>成交人</w:t>
            </w:r>
            <w:r>
              <w:rPr>
                <w:rFonts w:hint="eastAsia" w:ascii="宋体" w:hAnsi="宋体" w:eastAsia="宋体" w:cs="宋体"/>
                <w:color w:val="auto"/>
                <w:kern w:val="0"/>
                <w:sz w:val="18"/>
                <w:szCs w:val="18"/>
                <w:highlight w:val="none"/>
                <w:lang w:bidi="ar"/>
              </w:rPr>
              <w:t>应对货物出现的质量及安全问题负责处理解决并承担一切费用。质保期届满后，</w:t>
            </w:r>
            <w:r>
              <w:rPr>
                <w:rFonts w:hint="eastAsia" w:ascii="宋体" w:hAnsi="宋体" w:eastAsia="宋体" w:cs="宋体"/>
                <w:color w:val="auto"/>
                <w:kern w:val="0"/>
                <w:sz w:val="18"/>
                <w:szCs w:val="18"/>
                <w:highlight w:val="none"/>
                <w:lang w:val="en-US" w:eastAsia="zh-CN" w:bidi="ar"/>
              </w:rPr>
              <w:t>成交人</w:t>
            </w:r>
            <w:r>
              <w:rPr>
                <w:rFonts w:hint="eastAsia" w:ascii="宋体" w:hAnsi="宋体" w:eastAsia="宋体" w:cs="宋体"/>
                <w:color w:val="auto"/>
                <w:kern w:val="0"/>
                <w:sz w:val="18"/>
                <w:szCs w:val="18"/>
                <w:highlight w:val="none"/>
                <w:lang w:bidi="ar"/>
              </w:rPr>
              <w:t>对本合同项下货物提供终身维修服务，且维修时只收取所需维修部件的成本费，服务内容应与质保期内的要求相一致。</w:t>
            </w:r>
          </w:p>
        </w:tc>
      </w:tr>
      <w:tr w14:paraId="302C27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58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A35F19">
            <w:pPr>
              <w:spacing w:line="240" w:lineRule="auto"/>
              <w:jc w:val="left"/>
              <w:rPr>
                <w:rFonts w:hint="eastAsia" w:ascii="宋体" w:hAnsi="宋体" w:eastAsia="宋体" w:cs="宋体"/>
                <w:color w:val="auto"/>
                <w:kern w:val="0"/>
                <w:sz w:val="18"/>
                <w:szCs w:val="18"/>
                <w:highlight w:val="none"/>
                <w:lang w:val="zh-CN" w:eastAsia="zh-CN" w:bidi="ar"/>
              </w:rPr>
            </w:pPr>
            <w:r>
              <w:rPr>
                <w:rFonts w:hint="eastAsia" w:ascii="宋体" w:hAnsi="宋体" w:eastAsia="宋体" w:cs="宋体"/>
                <w:color w:val="auto"/>
                <w:kern w:val="0"/>
                <w:sz w:val="18"/>
                <w:szCs w:val="18"/>
                <w:highlight w:val="none"/>
                <w:lang w:bidi="ar"/>
              </w:rPr>
              <w:t>履约验收要求</w:t>
            </w:r>
          </w:p>
        </w:tc>
        <w:tc>
          <w:tcPr>
            <w:tcW w:w="933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B468096">
            <w:pPr>
              <w:spacing w:line="240" w:lineRule="auto"/>
              <w:jc w:val="left"/>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bidi="ar"/>
              </w:rPr>
              <w:t>货物经安装调试完成且符合技术要求后（货物的安装调试成本包含在项目预算总金额内），采购人进行验收。验收时</w:t>
            </w:r>
            <w:r>
              <w:rPr>
                <w:rFonts w:hint="eastAsia" w:ascii="宋体" w:hAnsi="宋体" w:eastAsia="宋体" w:cs="宋体"/>
                <w:color w:val="auto"/>
                <w:kern w:val="0"/>
                <w:sz w:val="18"/>
                <w:szCs w:val="18"/>
                <w:highlight w:val="none"/>
                <w:lang w:val="en-US" w:eastAsia="zh-CN" w:bidi="ar"/>
              </w:rPr>
              <w:t>成交人</w:t>
            </w:r>
            <w:r>
              <w:rPr>
                <w:rFonts w:hint="eastAsia" w:ascii="宋体" w:hAnsi="宋体" w:eastAsia="宋体" w:cs="宋体"/>
                <w:color w:val="auto"/>
                <w:kern w:val="0"/>
                <w:sz w:val="18"/>
                <w:szCs w:val="18"/>
                <w:highlight w:val="none"/>
                <w:lang w:bidi="ar"/>
              </w:rPr>
              <w:t>必须在现场。货物符合合同约定的技术规范要求和验收标准的，采购人签署验收合格证明。如货物不符合合同约定的要求的，</w:t>
            </w:r>
            <w:r>
              <w:rPr>
                <w:rFonts w:hint="eastAsia" w:ascii="宋体" w:hAnsi="宋体" w:eastAsia="宋体" w:cs="宋体"/>
                <w:color w:val="auto"/>
                <w:kern w:val="0"/>
                <w:sz w:val="18"/>
                <w:szCs w:val="18"/>
                <w:highlight w:val="none"/>
                <w:lang w:val="en-US" w:eastAsia="zh-CN" w:bidi="ar"/>
              </w:rPr>
              <w:t>成交人</w:t>
            </w:r>
            <w:r>
              <w:rPr>
                <w:rFonts w:hint="eastAsia" w:ascii="宋体" w:hAnsi="宋体" w:eastAsia="宋体" w:cs="宋体"/>
                <w:color w:val="auto"/>
                <w:kern w:val="0"/>
                <w:sz w:val="18"/>
                <w:szCs w:val="18"/>
                <w:highlight w:val="none"/>
                <w:lang w:bidi="ar"/>
              </w:rPr>
              <w:t>应当在3日内采取措施消除缺陷后重新申请终验，并承担由此产生的费用。</w:t>
            </w:r>
          </w:p>
          <w:p w14:paraId="1730C440">
            <w:pPr>
              <w:spacing w:line="240" w:lineRule="auto"/>
              <w:jc w:val="left"/>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zh-CN" w:bidi="ar"/>
              </w:rPr>
              <w:t>违约责任：若设备检测不符合招标文件技术参数要求（含第三方权威机构抽检），</w:t>
            </w:r>
            <w:r>
              <w:rPr>
                <w:rFonts w:hint="eastAsia" w:ascii="宋体" w:hAnsi="宋体" w:eastAsia="宋体" w:cs="宋体"/>
                <w:color w:val="auto"/>
                <w:kern w:val="0"/>
                <w:sz w:val="18"/>
                <w:szCs w:val="18"/>
                <w:highlight w:val="none"/>
                <w:lang w:val="en-US" w:eastAsia="zh-CN" w:bidi="ar"/>
              </w:rPr>
              <w:t>成交人</w:t>
            </w:r>
            <w:r>
              <w:rPr>
                <w:rFonts w:hint="eastAsia" w:ascii="宋体" w:hAnsi="宋体" w:eastAsia="宋体" w:cs="宋体"/>
                <w:color w:val="auto"/>
                <w:kern w:val="0"/>
                <w:sz w:val="18"/>
                <w:szCs w:val="18"/>
                <w:highlight w:val="none"/>
                <w:lang w:val="zh-CN" w:bidi="ar"/>
              </w:rPr>
              <w:t>须在</w:t>
            </w:r>
            <w:r>
              <w:rPr>
                <w:rFonts w:hint="eastAsia" w:ascii="宋体" w:hAnsi="宋体" w:eastAsia="宋体" w:cs="宋体"/>
                <w:color w:val="auto"/>
                <w:kern w:val="0"/>
                <w:sz w:val="18"/>
                <w:szCs w:val="18"/>
                <w:highlight w:val="none"/>
                <w:lang w:val="en-US" w:eastAsia="zh-CN" w:bidi="ar"/>
              </w:rPr>
              <w:t>10</w:t>
            </w:r>
            <w:r>
              <w:rPr>
                <w:rFonts w:hint="eastAsia" w:ascii="宋体" w:hAnsi="宋体" w:eastAsia="宋体" w:cs="宋体"/>
                <w:color w:val="auto"/>
                <w:kern w:val="0"/>
                <w:sz w:val="18"/>
                <w:szCs w:val="18"/>
                <w:highlight w:val="none"/>
                <w:lang w:val="zh-CN" w:bidi="ar"/>
              </w:rPr>
              <w:t>日内无条件更换合格设备，且承担由此产生的所有费用，</w:t>
            </w:r>
            <w:r>
              <w:rPr>
                <w:rFonts w:hint="eastAsia" w:ascii="宋体" w:hAnsi="宋体" w:eastAsia="宋体" w:cs="宋体"/>
                <w:color w:val="auto"/>
                <w:kern w:val="0"/>
                <w:sz w:val="18"/>
                <w:szCs w:val="18"/>
                <w:highlight w:val="none"/>
                <w:lang w:val="en-US" w:eastAsia="zh-CN" w:bidi="ar"/>
              </w:rPr>
              <w:t>并</w:t>
            </w:r>
            <w:r>
              <w:rPr>
                <w:rFonts w:hint="eastAsia" w:ascii="宋体" w:hAnsi="宋体" w:eastAsia="宋体" w:cs="宋体"/>
                <w:color w:val="auto"/>
                <w:kern w:val="0"/>
                <w:sz w:val="18"/>
                <w:szCs w:val="18"/>
                <w:highlight w:val="none"/>
                <w:lang w:val="zh-CN" w:bidi="ar"/>
              </w:rPr>
              <w:t>按该批次设备金额的30%支付违约金；若更换后仍不合格，采购方有权终止合同并追究法律责任。</w:t>
            </w:r>
          </w:p>
        </w:tc>
      </w:tr>
      <w:tr w14:paraId="432ADD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58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EB27457">
            <w:pPr>
              <w:spacing w:line="240" w:lineRule="auto"/>
              <w:jc w:val="left"/>
              <w:rPr>
                <w:rFonts w:hint="eastAsia" w:ascii="宋体" w:hAnsi="宋体" w:eastAsia="宋体" w:cs="宋体"/>
                <w:bCs/>
                <w:color w:val="auto"/>
                <w:kern w:val="2"/>
                <w:sz w:val="18"/>
                <w:szCs w:val="18"/>
                <w:lang w:val="en-US" w:eastAsia="zh-CN" w:bidi="ar-SA"/>
              </w:rPr>
            </w:pPr>
            <w:r>
              <w:rPr>
                <w:rStyle w:val="40"/>
                <w:rFonts w:hint="eastAsia" w:ascii="宋体" w:hAnsi="宋体" w:eastAsia="宋体" w:cs="宋体"/>
                <w:bCs/>
                <w:color w:val="auto"/>
                <w:sz w:val="18"/>
                <w:szCs w:val="18"/>
              </w:rPr>
              <w:t>违约责任</w:t>
            </w:r>
          </w:p>
        </w:tc>
        <w:tc>
          <w:tcPr>
            <w:tcW w:w="933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253124A">
            <w:pPr>
              <w:spacing w:line="240" w:lineRule="auto"/>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 xml:space="preserve">1、本采购项下货物在交货、安装调试、验收及质保期等任何阶段内不符合合同约定的技术规范要求和验收标准的，甲方有权向乙方索赔并选择下列一项或多项补救措施： </w:t>
            </w:r>
          </w:p>
          <w:p w14:paraId="29ABA34C">
            <w:pPr>
              <w:spacing w:line="240" w:lineRule="auto"/>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 xml:space="preserve">（1）由乙方采取措施消除设备缺陷或不符合询价文件之处，如果乙方不能及时消除缺陷，甲方有权自行消除缺陷或不符合询价文件之处，由此产生的一切费用均由乙方承担。 </w:t>
            </w:r>
          </w:p>
          <w:p w14:paraId="1D763284">
            <w:pPr>
              <w:spacing w:line="240" w:lineRule="auto"/>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 xml:space="preserve">（2）由乙方在接到甲方通知后7日内用符合合同规定的规格、质量和性能要求的新零件、部件和设备更换有缺陷的设备或用新的技术资料替换有错误的技术资料或补供遗漏的设备或技术资料等，乙方应承担一切费用和风险并负担给甲方造成的全部损失。 </w:t>
            </w:r>
          </w:p>
          <w:p w14:paraId="3A8015AC">
            <w:pPr>
              <w:spacing w:line="240" w:lineRule="auto"/>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 xml:space="preserve">（3）根据货物的低劣程度、损坏程度以及甲方所遭受损失的数额，乙方必须降低货物的价格。 </w:t>
            </w:r>
          </w:p>
          <w:p w14:paraId="255EB0C3">
            <w:pPr>
              <w:spacing w:line="240" w:lineRule="auto"/>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 xml:space="preserve">（4）退货，乙方应退还甲方支付的全部合同款，同时应承担该货物的直接费用（运输、保险、检验、货款利息及银行手续费等）。 </w:t>
            </w:r>
          </w:p>
          <w:p w14:paraId="4988F855">
            <w:pPr>
              <w:spacing w:line="240" w:lineRule="auto"/>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 xml:space="preserve">2、甲方无正当理由拒收货物的，应向乙方偿付拒收货款总值 20 %的违约金。 </w:t>
            </w:r>
          </w:p>
          <w:p w14:paraId="1F3E8C5A">
            <w:pPr>
              <w:spacing w:line="240" w:lineRule="auto"/>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3、甲方无故逾期验收和办理货款支付手续的，每逾期一日，应按逾期付款总额 3 ‰向乙方支付违约金。</w:t>
            </w:r>
          </w:p>
          <w:p w14:paraId="4E8AB833">
            <w:pPr>
              <w:spacing w:line="240" w:lineRule="auto"/>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 xml:space="preserve">4、乙方逾期交付货物的，每逾期一日，应按逾期交货总额 3 ‰向甲方支付违约金。逾期超过约定日期17个工作日不能交货的，甲方有权解除本合同，并要求乙方支付合同总额 20 %的违约金。乙方未在约定时间内完成安装调试的，参照前款约定承担违约责任。 </w:t>
            </w:r>
          </w:p>
          <w:p w14:paraId="4F7762B7">
            <w:pPr>
              <w:spacing w:line="240" w:lineRule="auto"/>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 xml:space="preserve">5、乙方所交付的货物品种、型号、规格、技术参数、质量不符合合同规定及在线询价文件规定标准的，甲方有权拒收该货物，乙方愿意更换货物但逾期交货的，按乙方逾期交货处理。乙方拒绝更换货物的，甲方可单方面解除合同，并要求乙方支付合同总值 </w:t>
            </w:r>
          </w:p>
          <w:p w14:paraId="511C4BAA">
            <w:pPr>
              <w:spacing w:line="240" w:lineRule="auto"/>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 xml:space="preserve">3%的违约金，违约金不足以弥补甲方损失的，乙方还应负责赔偿。 </w:t>
            </w:r>
          </w:p>
          <w:p w14:paraId="1B4E67F1">
            <w:pPr>
              <w:spacing w:line="240" w:lineRule="auto"/>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 xml:space="preserve">6、乙方未能按约定要求履行保修义务的，每发生一次应向甲方支付 216 元的违约金，同时，甲方有权委托第三方进行保修，所产生的费用由乙方承担。若因货物缺陷或乙方服务质量等问题造成甲方或任何人员人身、财产损害的，乙方应承担有关责任并作出 </w:t>
            </w:r>
          </w:p>
          <w:p w14:paraId="5783AC9F">
            <w:pPr>
              <w:spacing w:line="240" w:lineRule="auto"/>
              <w:jc w:val="left"/>
              <w:rPr>
                <w:rFonts w:hint="eastAsia" w:ascii="宋体" w:hAnsi="宋体" w:eastAsia="宋体" w:cs="宋体"/>
                <w:bCs/>
                <w:kern w:val="0"/>
                <w:sz w:val="18"/>
                <w:szCs w:val="18"/>
                <w:lang w:bidi="ar"/>
              </w:rPr>
            </w:pPr>
            <w:r>
              <w:rPr>
                <w:rFonts w:hint="eastAsia" w:ascii="宋体" w:hAnsi="宋体" w:eastAsia="宋体" w:cs="宋体"/>
                <w:bCs/>
                <w:kern w:val="0"/>
                <w:sz w:val="18"/>
                <w:szCs w:val="18"/>
                <w:lang w:bidi="ar"/>
              </w:rPr>
              <w:t xml:space="preserve">相应赔偿。 </w:t>
            </w:r>
          </w:p>
          <w:p w14:paraId="0CA4BB3D">
            <w:pPr>
              <w:spacing w:line="240" w:lineRule="auto"/>
              <w:jc w:val="left"/>
              <w:rPr>
                <w:rFonts w:hint="eastAsia" w:ascii="宋体" w:hAnsi="宋体" w:eastAsia="宋体" w:cs="宋体"/>
                <w:bCs/>
                <w:kern w:val="2"/>
                <w:sz w:val="18"/>
                <w:szCs w:val="18"/>
                <w:lang w:val="en-US" w:eastAsia="zh-CN" w:bidi="ar-SA"/>
              </w:rPr>
            </w:pPr>
            <w:r>
              <w:rPr>
                <w:rFonts w:hint="eastAsia" w:ascii="宋体" w:hAnsi="宋体" w:eastAsia="宋体" w:cs="宋体"/>
                <w:bCs/>
                <w:kern w:val="0"/>
                <w:sz w:val="18"/>
                <w:szCs w:val="18"/>
                <w:lang w:bidi="ar"/>
              </w:rPr>
              <w:t>7、因乙方其他违约行为导致甲方解除合同的，乙方应向甲方支付合同总值 20 %的违约金，如造成甲方损失超过违约金的，超出部分由乙方继续承担赔偿责任。</w:t>
            </w:r>
          </w:p>
        </w:tc>
      </w:tr>
      <w:tr w14:paraId="2E105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1586" w:type="dxa"/>
            <w:gridSpan w:val="2"/>
            <w:tcBorders>
              <w:top w:val="single" w:color="auto" w:sz="4" w:space="0"/>
              <w:left w:val="single" w:color="auto" w:sz="4" w:space="0"/>
              <w:bottom w:val="single" w:color="auto" w:sz="4" w:space="0"/>
              <w:right w:val="single" w:color="auto" w:sz="4" w:space="0"/>
            </w:tcBorders>
            <w:vAlign w:val="center"/>
          </w:tcPr>
          <w:p w14:paraId="4DE9007E">
            <w:pPr>
              <w:autoSpaceDE w:val="0"/>
              <w:autoSpaceDN w:val="0"/>
              <w:adjustRightInd w:val="0"/>
              <w:spacing w:line="240" w:lineRule="auto"/>
              <w:jc w:val="left"/>
              <w:rPr>
                <w:rFonts w:hint="eastAsia" w:ascii="宋体" w:hAnsi="宋体" w:eastAsia="宋体" w:cs="宋体"/>
                <w:kern w:val="0"/>
                <w:sz w:val="18"/>
                <w:szCs w:val="18"/>
              </w:rPr>
            </w:pPr>
            <w:r>
              <w:rPr>
                <w:rFonts w:hint="eastAsia" w:ascii="宋体" w:hAnsi="宋体" w:eastAsia="宋体" w:cs="宋体"/>
                <w:kern w:val="0"/>
                <w:sz w:val="18"/>
                <w:szCs w:val="18"/>
              </w:rPr>
              <w:t>付款</w:t>
            </w:r>
            <w:r>
              <w:rPr>
                <w:rFonts w:hint="eastAsia" w:ascii="宋体" w:hAnsi="宋体" w:eastAsia="宋体" w:cs="宋体"/>
                <w:sz w:val="18"/>
                <w:szCs w:val="18"/>
              </w:rPr>
              <w:t>条件</w:t>
            </w:r>
          </w:p>
        </w:tc>
        <w:tc>
          <w:tcPr>
            <w:tcW w:w="9334" w:type="dxa"/>
            <w:gridSpan w:val="5"/>
            <w:tcBorders>
              <w:top w:val="single" w:color="auto" w:sz="4" w:space="0"/>
              <w:left w:val="single" w:color="auto" w:sz="4" w:space="0"/>
              <w:bottom w:val="single" w:color="auto" w:sz="4" w:space="0"/>
              <w:right w:val="single" w:color="auto" w:sz="4" w:space="0"/>
            </w:tcBorders>
            <w:vAlign w:val="center"/>
          </w:tcPr>
          <w:p w14:paraId="0A35C861">
            <w:pPr>
              <w:tabs>
                <w:tab w:val="left" w:pos="2484"/>
              </w:tabs>
              <w:spacing w:line="240" w:lineRule="auto"/>
              <w:jc w:val="left"/>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本合同项下的全部货物安装调试完毕并经验收合格后15个工作日内，采购人向成交人支付全部合同价款。</w:t>
            </w:r>
          </w:p>
        </w:tc>
      </w:tr>
      <w:tr w14:paraId="797C3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10920" w:type="dxa"/>
            <w:gridSpan w:val="7"/>
            <w:tcBorders>
              <w:top w:val="single" w:color="auto" w:sz="4" w:space="0"/>
              <w:left w:val="single" w:color="auto" w:sz="4" w:space="0"/>
              <w:bottom w:val="single" w:color="auto" w:sz="4" w:space="0"/>
              <w:right w:val="single" w:color="auto" w:sz="4" w:space="0"/>
            </w:tcBorders>
            <w:vAlign w:val="center"/>
          </w:tcPr>
          <w:p w14:paraId="45FA93F0">
            <w:pPr>
              <w:autoSpaceDE w:val="0"/>
              <w:autoSpaceDN w:val="0"/>
              <w:adjustRightInd w:val="0"/>
              <w:spacing w:line="360" w:lineRule="auto"/>
              <w:jc w:val="left"/>
              <w:rPr>
                <w:rFonts w:hint="eastAsia" w:asciiTheme="majorEastAsia" w:hAnsiTheme="majorEastAsia" w:eastAsiaTheme="majorEastAsia" w:cstheme="majorEastAsia"/>
                <w:b/>
                <w:kern w:val="0"/>
                <w:sz w:val="18"/>
                <w:szCs w:val="18"/>
              </w:rPr>
            </w:pPr>
            <w:r>
              <w:rPr>
                <w:rFonts w:hint="eastAsia" w:asciiTheme="majorEastAsia" w:hAnsiTheme="majorEastAsia" w:eastAsiaTheme="majorEastAsia" w:cstheme="majorEastAsia"/>
                <w:b/>
                <w:kern w:val="0"/>
                <w:sz w:val="18"/>
                <w:szCs w:val="18"/>
              </w:rPr>
              <w:t>三、</w:t>
            </w:r>
            <w:r>
              <w:rPr>
                <w:rFonts w:hint="eastAsia"/>
              </w:rPr>
              <w:t>▲</w:t>
            </w:r>
            <w:r>
              <w:rPr>
                <w:rFonts w:hint="eastAsia" w:asciiTheme="majorEastAsia" w:hAnsiTheme="majorEastAsia" w:eastAsiaTheme="majorEastAsia" w:cstheme="majorEastAsia"/>
                <w:b/>
                <w:kern w:val="0"/>
                <w:sz w:val="18"/>
                <w:szCs w:val="18"/>
              </w:rPr>
              <w:t>其他要求</w:t>
            </w:r>
          </w:p>
        </w:tc>
      </w:tr>
      <w:tr w14:paraId="0FC954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10920" w:type="dxa"/>
            <w:gridSpan w:val="7"/>
            <w:tcBorders>
              <w:top w:val="single" w:color="auto" w:sz="4" w:space="0"/>
              <w:left w:val="single" w:color="auto" w:sz="4" w:space="0"/>
              <w:bottom w:val="single" w:color="auto" w:sz="4" w:space="0"/>
              <w:right w:val="single" w:color="auto" w:sz="4" w:space="0"/>
            </w:tcBorders>
            <w:vAlign w:val="center"/>
          </w:tcPr>
          <w:p w14:paraId="6FF4F7FD">
            <w:pPr>
              <w:rPr>
                <w:rFonts w:ascii="宋体" w:hAnsi="宋体"/>
                <w:color w:val="auto"/>
                <w:sz w:val="18"/>
                <w:szCs w:val="18"/>
                <w:highlight w:val="none"/>
              </w:rPr>
            </w:pPr>
            <w:r>
              <w:rPr>
                <w:rFonts w:hint="eastAsia" w:ascii="宋体" w:hAnsi="宋体"/>
                <w:color w:val="auto"/>
                <w:sz w:val="18"/>
                <w:szCs w:val="18"/>
                <w:highlight w:val="none"/>
              </w:rPr>
              <w:t>1、标注“</w:t>
            </w:r>
            <w:r>
              <w:rPr>
                <w:rFonts w:hint="eastAsia"/>
              </w:rPr>
              <w:t>▲</w:t>
            </w:r>
            <w:r>
              <w:rPr>
                <w:rFonts w:hint="eastAsia" w:ascii="宋体" w:hAnsi="宋体"/>
                <w:color w:val="auto"/>
                <w:sz w:val="18"/>
                <w:szCs w:val="18"/>
                <w:highlight w:val="none"/>
              </w:rPr>
              <w:t>”号的条款为本次采购的实质性的商务、技术或服务要求，投标人必须满足或响应，若无法完全满足，将会被认定为响应无效。</w:t>
            </w:r>
          </w:p>
          <w:p w14:paraId="13F8CCC2">
            <w:pPr>
              <w:rPr>
                <w:rFonts w:ascii="宋体" w:hAnsi="宋体"/>
                <w:color w:val="auto"/>
                <w:sz w:val="18"/>
                <w:szCs w:val="18"/>
                <w:highlight w:val="none"/>
              </w:rPr>
            </w:pPr>
            <w:r>
              <w:rPr>
                <w:rFonts w:hint="eastAsia" w:ascii="宋体" w:hAnsi="宋体"/>
                <w:color w:val="auto"/>
                <w:sz w:val="18"/>
                <w:szCs w:val="18"/>
                <w:highlight w:val="none"/>
              </w:rPr>
              <w:t>2、本项目货物不接受进口产品（即通过中国海关报关验放进入中国境内且产自关境外的产品），不接受联合体参与竞标。如有此类产品参与竞标的做无效标处理。</w:t>
            </w:r>
          </w:p>
          <w:p w14:paraId="1E2FE778">
            <w:pPr>
              <w:rPr>
                <w:rFonts w:ascii="宋体" w:hAnsi="宋体"/>
                <w:color w:val="auto"/>
                <w:sz w:val="18"/>
                <w:szCs w:val="18"/>
                <w:highlight w:val="none"/>
              </w:rPr>
            </w:pPr>
            <w:r>
              <w:rPr>
                <w:rFonts w:hint="eastAsia" w:ascii="宋体" w:hAnsi="宋体"/>
                <w:color w:val="auto"/>
                <w:sz w:val="18"/>
                <w:szCs w:val="18"/>
                <w:highlight w:val="none"/>
              </w:rPr>
              <w:t>3、响应品牌型号参数具体说明一栏需针对采购需求中技术参数要求逐条说明具体响应内容，响应情况具体说明需针对商务条款中具体内容逐条说明响应内容，若无法响应或不逐条响应则作报价无效处理。</w:t>
            </w:r>
          </w:p>
          <w:p w14:paraId="0001C71A">
            <w:pPr>
              <w:rPr>
                <w:rFonts w:ascii="宋体" w:hAnsi="宋体"/>
                <w:color w:val="auto"/>
                <w:sz w:val="18"/>
                <w:szCs w:val="18"/>
                <w:highlight w:val="none"/>
              </w:rPr>
            </w:pPr>
            <w:r>
              <w:rPr>
                <w:rFonts w:hint="eastAsia" w:ascii="宋体" w:hAnsi="宋体"/>
                <w:color w:val="auto"/>
                <w:sz w:val="18"/>
                <w:szCs w:val="18"/>
                <w:highlight w:val="none"/>
              </w:rPr>
              <w:t>4、报价响应表每页必须盖公章。</w:t>
            </w:r>
          </w:p>
          <w:p w14:paraId="52A6B075">
            <w:pPr>
              <w:adjustRightInd w:val="0"/>
              <w:snapToGrid w:val="0"/>
              <w:rPr>
                <w:rFonts w:ascii="宋体" w:hAnsi="宋体"/>
                <w:color w:val="auto"/>
                <w:sz w:val="18"/>
                <w:szCs w:val="18"/>
                <w:highlight w:val="none"/>
              </w:rPr>
            </w:pPr>
            <w:r>
              <w:rPr>
                <w:rFonts w:hint="eastAsia" w:ascii="宋体" w:hAnsi="宋体"/>
                <w:color w:val="auto"/>
                <w:sz w:val="18"/>
                <w:szCs w:val="18"/>
                <w:highlight w:val="none"/>
              </w:rPr>
              <w:t>5、所供产品的材质、款式、结构、造型符合采购需求的规定及采购合同约定的要求。</w:t>
            </w:r>
          </w:p>
          <w:p w14:paraId="645F5F75">
            <w:pPr>
              <w:tabs>
                <w:tab w:val="left" w:pos="2484"/>
              </w:tabs>
              <w:spacing w:line="440" w:lineRule="exact"/>
              <w:rPr>
                <w:rFonts w:hint="eastAsia" w:asciiTheme="majorEastAsia" w:hAnsiTheme="majorEastAsia" w:eastAsiaTheme="majorEastAsia" w:cstheme="majorEastAsia"/>
                <w:kern w:val="0"/>
                <w:szCs w:val="21"/>
                <w:lang w:val="en-US" w:eastAsia="zh-CN"/>
              </w:rPr>
            </w:pPr>
            <w:r>
              <w:rPr>
                <w:rFonts w:hint="eastAsia" w:ascii="宋体" w:hAnsi="宋体"/>
                <w:color w:val="auto"/>
                <w:sz w:val="18"/>
                <w:szCs w:val="18"/>
                <w:highlight w:val="none"/>
                <w:lang w:val="en-US" w:eastAsia="zh-CN"/>
              </w:rPr>
              <w:t>6</w:t>
            </w:r>
            <w:r>
              <w:rPr>
                <w:rFonts w:hint="eastAsia" w:ascii="宋体" w:hAnsi="宋体"/>
                <w:color w:val="auto"/>
                <w:sz w:val="18"/>
                <w:szCs w:val="18"/>
                <w:highlight w:val="none"/>
              </w:rPr>
              <w:t>、违约责任:如提供的实物未满足技术参数要求，则视为无效报价，采购人有权追究其法律责任，并将依法向政采云平台举报，上报政府采购监管部门。</w:t>
            </w:r>
          </w:p>
        </w:tc>
      </w:tr>
    </w:tbl>
    <w:p w14:paraId="1D2012A4">
      <w:pPr>
        <w:pStyle w:val="11"/>
        <w:widowControl/>
        <w:spacing w:after="452" w:line="555" w:lineRule="atLeast"/>
        <w:rPr>
          <w:rStyle w:val="16"/>
          <w:rFonts w:asciiTheme="majorEastAsia" w:hAnsiTheme="majorEastAsia" w:eastAsiaTheme="majorEastAsia" w:cstheme="majorEastAsia"/>
          <w:color w:val="333333"/>
          <w:sz w:val="18"/>
          <w:szCs w:val="1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0D2DC89F">
            <w:pPr>
              <w:pStyle w:val="9"/>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B04626"/>
    <w:multiLevelType w:val="singleLevel"/>
    <w:tmpl w:val="B0B04626"/>
    <w:lvl w:ilvl="0" w:tentative="0">
      <w:start w:val="1"/>
      <w:numFmt w:val="decimal"/>
      <w:suff w:val="nothing"/>
      <w:lvlText w:val="（%1）"/>
      <w:lvlJc w:val="left"/>
    </w:lvl>
  </w:abstractNum>
  <w:abstractNum w:abstractNumId="1">
    <w:nsid w:val="799C2CD2"/>
    <w:multiLevelType w:val="singleLevel"/>
    <w:tmpl w:val="799C2CD2"/>
    <w:lvl w:ilvl="0" w:tentative="0">
      <w:start w:val="1"/>
      <w:numFmt w:val="decimal"/>
      <w:lvlText w:val="%1."/>
      <w:lvlJc w:val="left"/>
      <w:pPr>
        <w:tabs>
          <w:tab w:val="left" w:pos="312"/>
        </w:tabs>
        <w:ind w:left="9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OGFiYWYzNzcxNjMzMTkwYjk4MWViNzJjNjQ5MDBiNGEifQ=="/>
  </w:docVars>
  <w:rsids>
    <w:rsidRoot w:val="52D653D6"/>
    <w:rsid w:val="00002994"/>
    <w:rsid w:val="000102D3"/>
    <w:rsid w:val="000122D9"/>
    <w:rsid w:val="0001736C"/>
    <w:rsid w:val="00021BD6"/>
    <w:rsid w:val="00024A4E"/>
    <w:rsid w:val="00027580"/>
    <w:rsid w:val="000408C1"/>
    <w:rsid w:val="00047C0E"/>
    <w:rsid w:val="00056B5E"/>
    <w:rsid w:val="000808B9"/>
    <w:rsid w:val="0008130F"/>
    <w:rsid w:val="00082409"/>
    <w:rsid w:val="00082EF6"/>
    <w:rsid w:val="00087E6F"/>
    <w:rsid w:val="00092BBF"/>
    <w:rsid w:val="000953D5"/>
    <w:rsid w:val="000A3D19"/>
    <w:rsid w:val="000A5D39"/>
    <w:rsid w:val="000C4E31"/>
    <w:rsid w:val="000E5D71"/>
    <w:rsid w:val="000E64E3"/>
    <w:rsid w:val="000F6927"/>
    <w:rsid w:val="0010348A"/>
    <w:rsid w:val="00110A81"/>
    <w:rsid w:val="00127AFC"/>
    <w:rsid w:val="00133620"/>
    <w:rsid w:val="00150216"/>
    <w:rsid w:val="00156346"/>
    <w:rsid w:val="0017414C"/>
    <w:rsid w:val="001B37D8"/>
    <w:rsid w:val="001C0A0B"/>
    <w:rsid w:val="001C1FDE"/>
    <w:rsid w:val="001C5E3E"/>
    <w:rsid w:val="001D0CC4"/>
    <w:rsid w:val="001D3CF7"/>
    <w:rsid w:val="001D40D9"/>
    <w:rsid w:val="001D7525"/>
    <w:rsid w:val="001E7EE5"/>
    <w:rsid w:val="001F1305"/>
    <w:rsid w:val="00204020"/>
    <w:rsid w:val="00213F4E"/>
    <w:rsid w:val="002310AC"/>
    <w:rsid w:val="00232C58"/>
    <w:rsid w:val="00253977"/>
    <w:rsid w:val="002562E1"/>
    <w:rsid w:val="00266758"/>
    <w:rsid w:val="00270F4D"/>
    <w:rsid w:val="0027639E"/>
    <w:rsid w:val="0028055B"/>
    <w:rsid w:val="0028546D"/>
    <w:rsid w:val="002A648D"/>
    <w:rsid w:val="002C48D1"/>
    <w:rsid w:val="00312577"/>
    <w:rsid w:val="00351A5E"/>
    <w:rsid w:val="003661FD"/>
    <w:rsid w:val="003D1DCB"/>
    <w:rsid w:val="003D7CA4"/>
    <w:rsid w:val="003E619F"/>
    <w:rsid w:val="003E783A"/>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27033"/>
    <w:rsid w:val="00547DDF"/>
    <w:rsid w:val="0055287B"/>
    <w:rsid w:val="005611BA"/>
    <w:rsid w:val="005650B2"/>
    <w:rsid w:val="005C6D2A"/>
    <w:rsid w:val="005E1921"/>
    <w:rsid w:val="005E4818"/>
    <w:rsid w:val="005E4C14"/>
    <w:rsid w:val="005E4ECB"/>
    <w:rsid w:val="00603052"/>
    <w:rsid w:val="006128DF"/>
    <w:rsid w:val="00624C0D"/>
    <w:rsid w:val="00651D11"/>
    <w:rsid w:val="00660F53"/>
    <w:rsid w:val="00681F69"/>
    <w:rsid w:val="00691732"/>
    <w:rsid w:val="00697F79"/>
    <w:rsid w:val="006A4493"/>
    <w:rsid w:val="006C62A8"/>
    <w:rsid w:val="006D028E"/>
    <w:rsid w:val="006D1F21"/>
    <w:rsid w:val="006E0179"/>
    <w:rsid w:val="006E297E"/>
    <w:rsid w:val="006E3CF1"/>
    <w:rsid w:val="006E6C19"/>
    <w:rsid w:val="00710C8F"/>
    <w:rsid w:val="00713BA1"/>
    <w:rsid w:val="007270EA"/>
    <w:rsid w:val="00733E15"/>
    <w:rsid w:val="0075181E"/>
    <w:rsid w:val="00780464"/>
    <w:rsid w:val="007828C7"/>
    <w:rsid w:val="007942C7"/>
    <w:rsid w:val="007A4C72"/>
    <w:rsid w:val="007B21E3"/>
    <w:rsid w:val="007B4626"/>
    <w:rsid w:val="007C5205"/>
    <w:rsid w:val="00801CC6"/>
    <w:rsid w:val="0080519D"/>
    <w:rsid w:val="00830BFD"/>
    <w:rsid w:val="00835CD1"/>
    <w:rsid w:val="00853064"/>
    <w:rsid w:val="00857045"/>
    <w:rsid w:val="00871030"/>
    <w:rsid w:val="0087617E"/>
    <w:rsid w:val="008820CA"/>
    <w:rsid w:val="008A602C"/>
    <w:rsid w:val="008B090F"/>
    <w:rsid w:val="008D14DD"/>
    <w:rsid w:val="008D28D6"/>
    <w:rsid w:val="008E356A"/>
    <w:rsid w:val="008E6872"/>
    <w:rsid w:val="008F2BB9"/>
    <w:rsid w:val="00921188"/>
    <w:rsid w:val="009254E6"/>
    <w:rsid w:val="00933947"/>
    <w:rsid w:val="0094666F"/>
    <w:rsid w:val="00954DF6"/>
    <w:rsid w:val="0097172A"/>
    <w:rsid w:val="00973544"/>
    <w:rsid w:val="00976B0B"/>
    <w:rsid w:val="00980C1A"/>
    <w:rsid w:val="00991123"/>
    <w:rsid w:val="009A0046"/>
    <w:rsid w:val="009A0E5A"/>
    <w:rsid w:val="009A4990"/>
    <w:rsid w:val="009E24CA"/>
    <w:rsid w:val="009E40CD"/>
    <w:rsid w:val="009E469C"/>
    <w:rsid w:val="00A173CF"/>
    <w:rsid w:val="00A25973"/>
    <w:rsid w:val="00A53111"/>
    <w:rsid w:val="00A82D07"/>
    <w:rsid w:val="00A86CD0"/>
    <w:rsid w:val="00A87D2B"/>
    <w:rsid w:val="00A91344"/>
    <w:rsid w:val="00AC4934"/>
    <w:rsid w:val="00AC4CAC"/>
    <w:rsid w:val="00AC7DAE"/>
    <w:rsid w:val="00AE3912"/>
    <w:rsid w:val="00B07709"/>
    <w:rsid w:val="00B11EDA"/>
    <w:rsid w:val="00B12D00"/>
    <w:rsid w:val="00B17646"/>
    <w:rsid w:val="00B25E09"/>
    <w:rsid w:val="00B81F9C"/>
    <w:rsid w:val="00B86469"/>
    <w:rsid w:val="00B95E1D"/>
    <w:rsid w:val="00B96A3E"/>
    <w:rsid w:val="00BA474A"/>
    <w:rsid w:val="00BA4D04"/>
    <w:rsid w:val="00BB058F"/>
    <w:rsid w:val="00BB208F"/>
    <w:rsid w:val="00BC0152"/>
    <w:rsid w:val="00BD4895"/>
    <w:rsid w:val="00BD6001"/>
    <w:rsid w:val="00BE601F"/>
    <w:rsid w:val="00BF406C"/>
    <w:rsid w:val="00BF531C"/>
    <w:rsid w:val="00C14009"/>
    <w:rsid w:val="00C30E63"/>
    <w:rsid w:val="00C445BC"/>
    <w:rsid w:val="00C671A9"/>
    <w:rsid w:val="00C713CC"/>
    <w:rsid w:val="00C75936"/>
    <w:rsid w:val="00C81107"/>
    <w:rsid w:val="00C81260"/>
    <w:rsid w:val="00C92655"/>
    <w:rsid w:val="00CB26C2"/>
    <w:rsid w:val="00CE11B5"/>
    <w:rsid w:val="00CF4136"/>
    <w:rsid w:val="00CF77EF"/>
    <w:rsid w:val="00D12D3A"/>
    <w:rsid w:val="00D13A3C"/>
    <w:rsid w:val="00D20611"/>
    <w:rsid w:val="00D24B5D"/>
    <w:rsid w:val="00D36B28"/>
    <w:rsid w:val="00D44D05"/>
    <w:rsid w:val="00D457A7"/>
    <w:rsid w:val="00D70B08"/>
    <w:rsid w:val="00D71E77"/>
    <w:rsid w:val="00D84986"/>
    <w:rsid w:val="00D9050C"/>
    <w:rsid w:val="00DC72FA"/>
    <w:rsid w:val="00DE3942"/>
    <w:rsid w:val="00DE62C0"/>
    <w:rsid w:val="00DF3090"/>
    <w:rsid w:val="00DF3C24"/>
    <w:rsid w:val="00DF428B"/>
    <w:rsid w:val="00E0409A"/>
    <w:rsid w:val="00E11FB9"/>
    <w:rsid w:val="00E12ED2"/>
    <w:rsid w:val="00E25AAB"/>
    <w:rsid w:val="00E26FFB"/>
    <w:rsid w:val="00E44071"/>
    <w:rsid w:val="00E4439D"/>
    <w:rsid w:val="00E72E28"/>
    <w:rsid w:val="00EB3D42"/>
    <w:rsid w:val="00EB7ADE"/>
    <w:rsid w:val="00EC277A"/>
    <w:rsid w:val="00EC6BA4"/>
    <w:rsid w:val="00EE293F"/>
    <w:rsid w:val="00EE355B"/>
    <w:rsid w:val="00EE6160"/>
    <w:rsid w:val="00EF299F"/>
    <w:rsid w:val="00EF6487"/>
    <w:rsid w:val="00F137B8"/>
    <w:rsid w:val="00F20CDC"/>
    <w:rsid w:val="00F25E3C"/>
    <w:rsid w:val="00F26972"/>
    <w:rsid w:val="00F26DEB"/>
    <w:rsid w:val="00F304C0"/>
    <w:rsid w:val="00F330CB"/>
    <w:rsid w:val="00F348C2"/>
    <w:rsid w:val="00F5062C"/>
    <w:rsid w:val="00F56375"/>
    <w:rsid w:val="00F73016"/>
    <w:rsid w:val="00F92D4B"/>
    <w:rsid w:val="00F94F4A"/>
    <w:rsid w:val="00FB02B1"/>
    <w:rsid w:val="00FB3DFA"/>
    <w:rsid w:val="00FD620A"/>
    <w:rsid w:val="010E3B97"/>
    <w:rsid w:val="0163247B"/>
    <w:rsid w:val="035E4919"/>
    <w:rsid w:val="03C30C20"/>
    <w:rsid w:val="043B2EAD"/>
    <w:rsid w:val="052E1184"/>
    <w:rsid w:val="061351B8"/>
    <w:rsid w:val="06885A0F"/>
    <w:rsid w:val="069A210C"/>
    <w:rsid w:val="07A52EAB"/>
    <w:rsid w:val="09287D76"/>
    <w:rsid w:val="0935436E"/>
    <w:rsid w:val="097C3D4B"/>
    <w:rsid w:val="09E37FB3"/>
    <w:rsid w:val="0A0F5BB5"/>
    <w:rsid w:val="0B354AFA"/>
    <w:rsid w:val="0BD57A5C"/>
    <w:rsid w:val="0C062328"/>
    <w:rsid w:val="0C93343B"/>
    <w:rsid w:val="0C935673"/>
    <w:rsid w:val="0CE246C6"/>
    <w:rsid w:val="0CF34325"/>
    <w:rsid w:val="0D2564A8"/>
    <w:rsid w:val="0E6F05D1"/>
    <w:rsid w:val="0F074FAA"/>
    <w:rsid w:val="0F7B6853"/>
    <w:rsid w:val="0F931DEF"/>
    <w:rsid w:val="10583B3F"/>
    <w:rsid w:val="10FB7C4C"/>
    <w:rsid w:val="13287592"/>
    <w:rsid w:val="132A4818"/>
    <w:rsid w:val="13441845"/>
    <w:rsid w:val="13637D2A"/>
    <w:rsid w:val="137D0DEC"/>
    <w:rsid w:val="13BB7B66"/>
    <w:rsid w:val="14567632"/>
    <w:rsid w:val="15333719"/>
    <w:rsid w:val="157A4E35"/>
    <w:rsid w:val="15A6480D"/>
    <w:rsid w:val="1608351E"/>
    <w:rsid w:val="171E5BB6"/>
    <w:rsid w:val="177D572D"/>
    <w:rsid w:val="179E7583"/>
    <w:rsid w:val="17D53209"/>
    <w:rsid w:val="19766A09"/>
    <w:rsid w:val="19771562"/>
    <w:rsid w:val="1A9616B5"/>
    <w:rsid w:val="1AAE5D2F"/>
    <w:rsid w:val="1C5D17BA"/>
    <w:rsid w:val="1C6E1C1A"/>
    <w:rsid w:val="1CEE2D5A"/>
    <w:rsid w:val="1CFC11B5"/>
    <w:rsid w:val="1D344FBE"/>
    <w:rsid w:val="1DD27F86"/>
    <w:rsid w:val="1DF613D3"/>
    <w:rsid w:val="1FFB7C68"/>
    <w:rsid w:val="20A0716E"/>
    <w:rsid w:val="218477E9"/>
    <w:rsid w:val="21E9568B"/>
    <w:rsid w:val="2296771B"/>
    <w:rsid w:val="232D106D"/>
    <w:rsid w:val="23ED78C8"/>
    <w:rsid w:val="253908EB"/>
    <w:rsid w:val="26A022EB"/>
    <w:rsid w:val="276029EE"/>
    <w:rsid w:val="278E005D"/>
    <w:rsid w:val="27BC71C2"/>
    <w:rsid w:val="28074CD0"/>
    <w:rsid w:val="288B42E2"/>
    <w:rsid w:val="29BE12F6"/>
    <w:rsid w:val="2A6C05DB"/>
    <w:rsid w:val="2B2C149D"/>
    <w:rsid w:val="2C2B4B23"/>
    <w:rsid w:val="2E4C6E43"/>
    <w:rsid w:val="2FEC2936"/>
    <w:rsid w:val="30175C86"/>
    <w:rsid w:val="3038292B"/>
    <w:rsid w:val="32867865"/>
    <w:rsid w:val="33F22CD8"/>
    <w:rsid w:val="33F53549"/>
    <w:rsid w:val="3411172E"/>
    <w:rsid w:val="35977693"/>
    <w:rsid w:val="36080235"/>
    <w:rsid w:val="364A2605"/>
    <w:rsid w:val="36B85B13"/>
    <w:rsid w:val="374E0226"/>
    <w:rsid w:val="37A26242"/>
    <w:rsid w:val="38290730"/>
    <w:rsid w:val="38D155B2"/>
    <w:rsid w:val="393E2E94"/>
    <w:rsid w:val="39F350B4"/>
    <w:rsid w:val="3A3D77C6"/>
    <w:rsid w:val="3AD43138"/>
    <w:rsid w:val="3AF17846"/>
    <w:rsid w:val="3BDC4EF4"/>
    <w:rsid w:val="3D2F28A7"/>
    <w:rsid w:val="40167D4F"/>
    <w:rsid w:val="40842F0A"/>
    <w:rsid w:val="40962E51"/>
    <w:rsid w:val="41842ED7"/>
    <w:rsid w:val="41E80EEB"/>
    <w:rsid w:val="42462B6D"/>
    <w:rsid w:val="4488746D"/>
    <w:rsid w:val="44CC2099"/>
    <w:rsid w:val="44E060C2"/>
    <w:rsid w:val="45303661"/>
    <w:rsid w:val="460074D7"/>
    <w:rsid w:val="4642364B"/>
    <w:rsid w:val="4708796F"/>
    <w:rsid w:val="47283916"/>
    <w:rsid w:val="47835CCA"/>
    <w:rsid w:val="48C22822"/>
    <w:rsid w:val="4972249A"/>
    <w:rsid w:val="49AA2029"/>
    <w:rsid w:val="4A192915"/>
    <w:rsid w:val="4A6242BC"/>
    <w:rsid w:val="4A8C26DF"/>
    <w:rsid w:val="4B425E9C"/>
    <w:rsid w:val="4BBE3774"/>
    <w:rsid w:val="4C957771"/>
    <w:rsid w:val="4CA02E7A"/>
    <w:rsid w:val="4CC36B68"/>
    <w:rsid w:val="4DE4323A"/>
    <w:rsid w:val="4F7F321A"/>
    <w:rsid w:val="502071EA"/>
    <w:rsid w:val="508F329F"/>
    <w:rsid w:val="50A23821"/>
    <w:rsid w:val="51025EB1"/>
    <w:rsid w:val="513C59EC"/>
    <w:rsid w:val="52102923"/>
    <w:rsid w:val="52264F17"/>
    <w:rsid w:val="527B4618"/>
    <w:rsid w:val="528F19C6"/>
    <w:rsid w:val="52B813CD"/>
    <w:rsid w:val="52D653D6"/>
    <w:rsid w:val="54370568"/>
    <w:rsid w:val="568A7075"/>
    <w:rsid w:val="56AF6ADB"/>
    <w:rsid w:val="587D0513"/>
    <w:rsid w:val="58DC16DE"/>
    <w:rsid w:val="58E50BA2"/>
    <w:rsid w:val="590A1BB3"/>
    <w:rsid w:val="598B674F"/>
    <w:rsid w:val="5A105AE3"/>
    <w:rsid w:val="5A5534F6"/>
    <w:rsid w:val="5A690D4F"/>
    <w:rsid w:val="5A951B44"/>
    <w:rsid w:val="5ABF3065"/>
    <w:rsid w:val="5AD92F0B"/>
    <w:rsid w:val="5B0A6D0B"/>
    <w:rsid w:val="5B8E2CD1"/>
    <w:rsid w:val="5C0A0310"/>
    <w:rsid w:val="5D321603"/>
    <w:rsid w:val="5D5E44AA"/>
    <w:rsid w:val="5EBE53E1"/>
    <w:rsid w:val="5EE74938"/>
    <w:rsid w:val="61572249"/>
    <w:rsid w:val="61D92C5E"/>
    <w:rsid w:val="628F7431"/>
    <w:rsid w:val="63972DD1"/>
    <w:rsid w:val="65491EA9"/>
    <w:rsid w:val="658B0713"/>
    <w:rsid w:val="65E676F8"/>
    <w:rsid w:val="67CB3049"/>
    <w:rsid w:val="67D866A0"/>
    <w:rsid w:val="681349F0"/>
    <w:rsid w:val="69894F6A"/>
    <w:rsid w:val="69D11AAC"/>
    <w:rsid w:val="6A841BD5"/>
    <w:rsid w:val="6B607F4C"/>
    <w:rsid w:val="6B6473C3"/>
    <w:rsid w:val="6C28527F"/>
    <w:rsid w:val="6D45389E"/>
    <w:rsid w:val="6D6123F1"/>
    <w:rsid w:val="6D695061"/>
    <w:rsid w:val="6D6A3304"/>
    <w:rsid w:val="6E29702D"/>
    <w:rsid w:val="6EB83BFB"/>
    <w:rsid w:val="6EC45860"/>
    <w:rsid w:val="70F25AEA"/>
    <w:rsid w:val="72BA43E6"/>
    <w:rsid w:val="7357203A"/>
    <w:rsid w:val="73CD639B"/>
    <w:rsid w:val="74E474F8"/>
    <w:rsid w:val="75352A78"/>
    <w:rsid w:val="75412B9C"/>
    <w:rsid w:val="76872831"/>
    <w:rsid w:val="76AA3D9F"/>
    <w:rsid w:val="77FA7033"/>
    <w:rsid w:val="7835786E"/>
    <w:rsid w:val="787B5854"/>
    <w:rsid w:val="7BC167E5"/>
    <w:rsid w:val="7C2B051C"/>
    <w:rsid w:val="7C8F0C60"/>
    <w:rsid w:val="7CDA58DC"/>
    <w:rsid w:val="7E215319"/>
    <w:rsid w:val="7E56319A"/>
    <w:rsid w:val="7EC34622"/>
    <w:rsid w:val="7EDC56E4"/>
    <w:rsid w:val="7F531E4A"/>
    <w:rsid w:val="7F8D2119"/>
    <w:rsid w:val="7F8D33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6"/>
    <w:autoRedefine/>
    <w:unhideWhenUsed/>
    <w:qFormat/>
    <w:uiPriority w:val="0"/>
    <w:pPr>
      <w:jc w:val="left"/>
    </w:pPr>
  </w:style>
  <w:style w:type="paragraph" w:styleId="5">
    <w:name w:val="Body Text"/>
    <w:basedOn w:val="1"/>
    <w:next w:val="6"/>
    <w:qFormat/>
    <w:uiPriority w:val="0"/>
    <w:pPr>
      <w:tabs>
        <w:tab w:val="left" w:pos="562"/>
        <w:tab w:val="left" w:pos="3372"/>
        <w:tab w:val="left" w:pos="3653"/>
      </w:tabs>
    </w:pPr>
    <w:rPr>
      <w:rFonts w:ascii="Calibri" w:hAnsi="Calibri" w:cs="Calibri"/>
      <w:sz w:val="24"/>
      <w:szCs w:val="22"/>
    </w:rPr>
  </w:style>
  <w:style w:type="paragraph" w:styleId="6">
    <w:name w:val="Subtitle"/>
    <w:basedOn w:val="1"/>
    <w:qFormat/>
    <w:uiPriority w:val="0"/>
    <w:pPr>
      <w:spacing w:before="240" w:after="60" w:line="312" w:lineRule="auto"/>
      <w:jc w:val="center"/>
      <w:outlineLvl w:val="1"/>
    </w:pPr>
    <w:rPr>
      <w:rFonts w:ascii="Arial" w:hAnsi="Arial" w:cs="Arial"/>
      <w:bCs/>
      <w:kern w:val="28"/>
      <w:sz w:val="32"/>
      <w:szCs w:val="32"/>
    </w:rPr>
  </w:style>
  <w:style w:type="paragraph" w:styleId="7">
    <w:name w:val="Plain Text"/>
    <w:basedOn w:val="1"/>
    <w:link w:val="33"/>
    <w:autoRedefine/>
    <w:qFormat/>
    <w:uiPriority w:val="0"/>
    <w:rPr>
      <w:rFonts w:ascii="宋体" w:hAnsi="Courier New" w:eastAsia="宋体" w:cs="Courier New"/>
      <w:kern w:val="0"/>
      <w:sz w:val="20"/>
      <w:szCs w:val="21"/>
    </w:rPr>
  </w:style>
  <w:style w:type="paragraph" w:styleId="8">
    <w:name w:val="Balloon Text"/>
    <w:basedOn w:val="1"/>
    <w:link w:val="38"/>
    <w:unhideWhenUsed/>
    <w:qFormat/>
    <w:uiPriority w:val="0"/>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jc w:val="left"/>
    </w:pPr>
    <w:rPr>
      <w:rFonts w:cs="Times New Roman"/>
      <w:kern w:val="0"/>
      <w:sz w:val="24"/>
    </w:rPr>
  </w:style>
  <w:style w:type="paragraph" w:styleId="12">
    <w:name w:val="annotation subject"/>
    <w:basedOn w:val="4"/>
    <w:next w:val="4"/>
    <w:link w:val="37"/>
    <w:unhideWhenUsed/>
    <w:qFormat/>
    <w:uiPriority w:val="0"/>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FollowedHyperlink"/>
    <w:basedOn w:val="15"/>
    <w:qFormat/>
    <w:uiPriority w:val="0"/>
    <w:rPr>
      <w:color w:val="333333"/>
      <w:u w:val="none"/>
    </w:rPr>
  </w:style>
  <w:style w:type="character" w:styleId="18">
    <w:name w:val="Emphasis"/>
    <w:basedOn w:val="15"/>
    <w:qFormat/>
    <w:uiPriority w:val="0"/>
  </w:style>
  <w:style w:type="character" w:styleId="19">
    <w:name w:val="HTML Definition"/>
    <w:basedOn w:val="15"/>
    <w:qFormat/>
    <w:uiPriority w:val="0"/>
  </w:style>
  <w:style w:type="character" w:styleId="20">
    <w:name w:val="HTML Acronym"/>
    <w:basedOn w:val="15"/>
    <w:qFormat/>
    <w:uiPriority w:val="0"/>
  </w:style>
  <w:style w:type="character" w:styleId="21">
    <w:name w:val="HTML Variable"/>
    <w:basedOn w:val="15"/>
    <w:qFormat/>
    <w:uiPriority w:val="0"/>
  </w:style>
  <w:style w:type="character" w:styleId="22">
    <w:name w:val="Hyperlink"/>
    <w:basedOn w:val="15"/>
    <w:qFormat/>
    <w:uiPriority w:val="0"/>
    <w:rPr>
      <w:color w:val="333333"/>
      <w:u w:val="none"/>
    </w:rPr>
  </w:style>
  <w:style w:type="character" w:styleId="23">
    <w:name w:val="HTML Code"/>
    <w:basedOn w:val="15"/>
    <w:qFormat/>
    <w:uiPriority w:val="0"/>
    <w:rPr>
      <w:rFonts w:ascii="Courier New" w:hAnsi="Courier New"/>
      <w:sz w:val="20"/>
    </w:rPr>
  </w:style>
  <w:style w:type="character" w:styleId="24">
    <w:name w:val="annotation reference"/>
    <w:basedOn w:val="15"/>
    <w:unhideWhenUsed/>
    <w:qFormat/>
    <w:uiPriority w:val="0"/>
    <w:rPr>
      <w:sz w:val="21"/>
      <w:szCs w:val="21"/>
    </w:rPr>
  </w:style>
  <w:style w:type="character" w:styleId="25">
    <w:name w:val="HTML Cite"/>
    <w:basedOn w:val="15"/>
    <w:qFormat/>
    <w:uiPriority w:val="0"/>
  </w:style>
  <w:style w:type="character" w:customStyle="1" w:styleId="26">
    <w:name w:val="current"/>
    <w:basedOn w:val="15"/>
    <w:qFormat/>
    <w:uiPriority w:val="0"/>
    <w:rPr>
      <w:b/>
      <w:bCs/>
      <w:color w:val="FFFFFF"/>
      <w:bdr w:val="single" w:color="7D6543" w:sz="6" w:space="0"/>
      <w:shd w:val="clear" w:color="auto" w:fill="7D6543"/>
    </w:rPr>
  </w:style>
  <w:style w:type="character" w:customStyle="1" w:styleId="27">
    <w:name w:val="disabled"/>
    <w:basedOn w:val="15"/>
    <w:autoRedefine/>
    <w:qFormat/>
    <w:uiPriority w:val="0"/>
    <w:rPr>
      <w:color w:val="999999"/>
      <w:bdr w:val="single" w:color="C5C5C5" w:sz="6" w:space="0"/>
    </w:rPr>
  </w:style>
  <w:style w:type="character" w:customStyle="1" w:styleId="28">
    <w:name w:val="font11"/>
    <w:basedOn w:val="15"/>
    <w:qFormat/>
    <w:uiPriority w:val="0"/>
    <w:rPr>
      <w:rFonts w:hint="eastAsia" w:ascii="宋体" w:hAnsi="宋体" w:eastAsia="宋体" w:cs="宋体"/>
      <w:color w:val="000000"/>
      <w:sz w:val="24"/>
      <w:szCs w:val="24"/>
      <w:u w:val="none"/>
    </w:rPr>
  </w:style>
  <w:style w:type="character" w:customStyle="1" w:styleId="29">
    <w:name w:val="font31"/>
    <w:basedOn w:val="15"/>
    <w:qFormat/>
    <w:uiPriority w:val="0"/>
    <w:rPr>
      <w:rFonts w:hint="eastAsia" w:ascii="宋体" w:hAnsi="宋体" w:eastAsia="宋体" w:cs="宋体"/>
      <w:color w:val="000000"/>
      <w:sz w:val="24"/>
      <w:szCs w:val="24"/>
      <w:u w:val="none"/>
    </w:rPr>
  </w:style>
  <w:style w:type="character" w:customStyle="1" w:styleId="30">
    <w:name w:val="页眉 Char"/>
    <w:basedOn w:val="15"/>
    <w:link w:val="10"/>
    <w:qFormat/>
    <w:uiPriority w:val="99"/>
    <w:rPr>
      <w:rFonts w:asciiTheme="minorHAnsi" w:hAnsiTheme="minorHAnsi" w:eastAsiaTheme="minorEastAsia" w:cstheme="minorBidi"/>
      <w:kern w:val="2"/>
      <w:sz w:val="18"/>
      <w:szCs w:val="18"/>
    </w:rPr>
  </w:style>
  <w:style w:type="character" w:customStyle="1" w:styleId="31">
    <w:name w:val="页脚 Char"/>
    <w:basedOn w:val="15"/>
    <w:link w:val="9"/>
    <w:qFormat/>
    <w:uiPriority w:val="99"/>
    <w:rPr>
      <w:rFonts w:asciiTheme="minorHAnsi" w:hAnsiTheme="minorHAnsi" w:eastAsiaTheme="minorEastAsia" w:cstheme="minorBidi"/>
      <w:kern w:val="2"/>
      <w:sz w:val="18"/>
      <w:szCs w:val="18"/>
    </w:rPr>
  </w:style>
  <w:style w:type="paragraph" w:customStyle="1" w:styleId="32">
    <w:name w:val="列出段落1"/>
    <w:basedOn w:val="1"/>
    <w:unhideWhenUsed/>
    <w:qFormat/>
    <w:uiPriority w:val="99"/>
    <w:pPr>
      <w:ind w:firstLine="420" w:firstLineChars="200"/>
    </w:pPr>
  </w:style>
  <w:style w:type="character" w:customStyle="1" w:styleId="33">
    <w:name w:val="纯文本 Char"/>
    <w:basedOn w:val="15"/>
    <w:link w:val="7"/>
    <w:qFormat/>
    <w:uiPriority w:val="0"/>
    <w:rPr>
      <w:rFonts w:ascii="宋体" w:hAnsi="Courier New" w:cs="Courier New"/>
      <w:szCs w:val="21"/>
    </w:rPr>
  </w:style>
  <w:style w:type="paragraph" w:customStyle="1" w:styleId="34">
    <w:name w:val="无间隔1"/>
    <w:link w:val="35"/>
    <w:qFormat/>
    <w:uiPriority w:val="1"/>
    <w:rPr>
      <w:rFonts w:asciiTheme="minorHAnsi" w:hAnsiTheme="minorHAnsi" w:eastAsiaTheme="minorEastAsia" w:cstheme="minorBidi"/>
      <w:sz w:val="22"/>
      <w:szCs w:val="22"/>
      <w:lang w:val="en-US" w:eastAsia="zh-CN" w:bidi="ar-SA"/>
    </w:rPr>
  </w:style>
  <w:style w:type="character" w:customStyle="1" w:styleId="35">
    <w:name w:val="无间隔 Char"/>
    <w:basedOn w:val="15"/>
    <w:link w:val="34"/>
    <w:qFormat/>
    <w:uiPriority w:val="1"/>
    <w:rPr>
      <w:rFonts w:asciiTheme="minorHAnsi" w:hAnsiTheme="minorHAnsi" w:eastAsiaTheme="minorEastAsia" w:cstheme="minorBidi"/>
      <w:sz w:val="22"/>
      <w:szCs w:val="22"/>
    </w:rPr>
  </w:style>
  <w:style w:type="character" w:customStyle="1" w:styleId="36">
    <w:name w:val="批注文字 Char"/>
    <w:basedOn w:val="15"/>
    <w:link w:val="4"/>
    <w:semiHidden/>
    <w:qFormat/>
    <w:uiPriority w:val="0"/>
    <w:rPr>
      <w:rFonts w:asciiTheme="minorHAnsi" w:hAnsiTheme="minorHAnsi" w:eastAsiaTheme="minorEastAsia" w:cstheme="minorBidi"/>
      <w:kern w:val="2"/>
      <w:sz w:val="21"/>
      <w:szCs w:val="24"/>
    </w:rPr>
  </w:style>
  <w:style w:type="character" w:customStyle="1" w:styleId="37">
    <w:name w:val="批注主题 Char"/>
    <w:basedOn w:val="36"/>
    <w:link w:val="12"/>
    <w:semiHidden/>
    <w:qFormat/>
    <w:uiPriority w:val="0"/>
    <w:rPr>
      <w:rFonts w:asciiTheme="minorHAnsi" w:hAnsiTheme="minorHAnsi" w:eastAsiaTheme="minorEastAsia" w:cstheme="minorBidi"/>
      <w:b/>
      <w:bCs/>
      <w:kern w:val="2"/>
      <w:sz w:val="21"/>
      <w:szCs w:val="24"/>
    </w:rPr>
  </w:style>
  <w:style w:type="character" w:customStyle="1" w:styleId="38">
    <w:name w:val="批注框文本 Char"/>
    <w:basedOn w:val="15"/>
    <w:link w:val="8"/>
    <w:semiHidden/>
    <w:qFormat/>
    <w:uiPriority w:val="0"/>
    <w:rPr>
      <w:rFonts w:asciiTheme="minorHAnsi" w:hAnsiTheme="minorHAnsi" w:eastAsiaTheme="minorEastAsia" w:cstheme="minorBidi"/>
      <w:kern w:val="2"/>
      <w:sz w:val="18"/>
      <w:szCs w:val="18"/>
    </w:rPr>
  </w:style>
  <w:style w:type="paragraph" w:customStyle="1" w:styleId="39">
    <w:name w:val="列出段落11"/>
    <w:basedOn w:val="1"/>
    <w:qFormat/>
    <w:uiPriority w:val="34"/>
    <w:pPr>
      <w:ind w:firstLine="420" w:firstLineChars="200"/>
    </w:pPr>
    <w:rPr>
      <w:rFonts w:ascii="Times New Roman" w:hAnsi="Times New Roman" w:eastAsia="宋体" w:cs="Times New Roman"/>
    </w:rPr>
  </w:style>
  <w:style w:type="character" w:customStyle="1" w:styleId="40">
    <w:name w:val="fontstyle01"/>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F9E6D-E90E-405E-8D6E-7975D6DCE68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3094</Words>
  <Characters>3209</Characters>
  <Lines>6</Lines>
  <Paragraphs>1</Paragraphs>
  <TotalTime>0</TotalTime>
  <ScaleCrop>false</ScaleCrop>
  <LinksUpToDate>false</LinksUpToDate>
  <CharactersWithSpaces>3278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2026-03-12T09:07:00Z</dcterms:created>
  <dc:creator>Administrator</dc:creator>
  <cp:lastModifiedBy>Siqi Qiu</cp:lastModifiedBy>
  <cp:lastPrinted>2025-05-30T06:29:00Z</cp:lastPrinted>
  <dcterms:modified xsi:type="dcterms:W3CDTF">2026-04-16T09:05:03Z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19CE6C4B7F8A43C7981FA066754F118C</vt:lpwstr>
  </property>
  <property fmtid="{D5CDD505-2E9C-101B-9397-08002B2CF9AE}" pid="4" name="KSOTemplateDocerSaveRecord">
    <vt:lpwstr>eyJoZGlkIjoiYTI4ZmQ1NDFhMTliMmFjNzNkMzE0MDQxODMwZjAwODMiLCJ1c2VySWQiOiIzODgyODQ1MzAifQ==</vt:lpwstr>
  </property>
</Properties>
</file>