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71EC8">
      <w:pPr>
        <w:pStyle w:val="2"/>
        <w:widowControl/>
        <w:spacing w:beforeAutospacing="0" w:afterAutospacing="0" w:line="360" w:lineRule="atLeast"/>
        <w:rPr>
          <w:rFonts w:hint="eastAsia" w:ascii="仿宋" w:hAnsi="仿宋" w:eastAsia="仿宋" w:cs="仿宋"/>
          <w:color w:val="00000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color w:val="000000"/>
          <w:sz w:val="32"/>
          <w:szCs w:val="32"/>
        </w:rPr>
        <w:t>附件 3：采购需求</w:t>
      </w:r>
    </w:p>
    <w:bookmarkEnd w:id="0"/>
    <w:p w14:paraId="3C148583">
      <w:pPr>
        <w:pStyle w:val="3"/>
        <w:widowControl/>
        <w:spacing w:beforeAutospacing="0" w:afterAutospacing="0" w:line="360" w:lineRule="atLeast"/>
        <w:ind w:firstLine="643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一、项目概况</w:t>
      </w:r>
    </w:p>
    <w:p w14:paraId="7685696B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项目名称：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安防监控系统设备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采购项目（编号：GUCM-2026-XJ-00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-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XM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）</w:t>
      </w:r>
    </w:p>
    <w:p w14:paraId="09FF422F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采购内容：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安防监控系统设备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。</w:t>
      </w:r>
    </w:p>
    <w:p w14:paraId="52F60BAD">
      <w:pPr>
        <w:pStyle w:val="3"/>
        <w:widowControl/>
        <w:spacing w:beforeAutospacing="0" w:afterAutospacing="0" w:line="360" w:lineRule="atLeast"/>
        <w:ind w:firstLine="643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二、▲实质性技术参数要求（必须满足）</w:t>
      </w:r>
    </w:p>
    <w:p w14:paraId="31C6CC62">
      <w:pPr>
        <w:rPr>
          <w:rFonts w:hint="eastAsia" w:ascii="仿宋" w:hAnsi="仿宋" w:eastAsia="仿宋" w:cs="仿宋"/>
          <w:sz w:val="24"/>
        </w:rPr>
      </w:pPr>
    </w:p>
    <w:tbl>
      <w:tblPr>
        <w:tblStyle w:val="4"/>
        <w:tblW w:w="5236" w:type="pct"/>
        <w:tblInd w:w="-417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80"/>
        <w:gridCol w:w="1114"/>
        <w:gridCol w:w="4537"/>
        <w:gridCol w:w="838"/>
        <w:gridCol w:w="581"/>
      </w:tblGrid>
      <w:tr w14:paraId="09400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B29ECED">
            <w:pP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一、技术要求（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▲的实质性技术参数要求必须满足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）</w:t>
            </w:r>
          </w:p>
        </w:tc>
      </w:tr>
      <w:tr w14:paraId="1E2B24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50073F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3D17A72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采购内容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67F3871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参考品牌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AD086DC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技术参数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03150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计量</w:t>
            </w:r>
          </w:p>
          <w:p w14:paraId="28ED51C7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B06EB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数量</w:t>
            </w:r>
          </w:p>
        </w:tc>
      </w:tr>
      <w:tr w14:paraId="60DB5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4E531C1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2E194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400万海螺型PoE网络摄像机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5F8CB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海康威视、华为、宇视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3D7D2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▲1.分辨率≥400万像素，并在此分辨率下可输出≥25 fps实时图像；</w:t>
            </w:r>
          </w:p>
          <w:p w14:paraId="34298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▲2.支持≥2种Smart侦测：越界侦测，区域入侵侦测；</w:t>
            </w:r>
          </w:p>
          <w:p w14:paraId="71EA7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▲3.支持≥1个RJ45 10 M/100 M自适应以太网口，1个内置麦克风；</w:t>
            </w:r>
          </w:p>
          <w:p w14:paraId="143D6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▲4.适用于室内光线较暗或无光照环境且要求高清画质的场所，适合逆光环境；</w:t>
            </w:r>
          </w:p>
          <w:p w14:paraId="0C2DF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▲5.支持背光补偿，强光抑制，3D数字降噪，宽动态≥120 dB，适应不同环境；</w:t>
            </w:r>
          </w:p>
          <w:p w14:paraId="07B1F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▲6.智能补光，支持白光/红外双补光，红外光≥30 m，白光≥20 m；</w:t>
            </w:r>
          </w:p>
          <w:p w14:paraId="4BB16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7.符合IP67防尘防水设计。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345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B13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</w:tr>
      <w:tr w14:paraId="38A885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AC3C8B3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02EE0D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400万筒型PoE网络摄像机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79649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海康威视、华为、宇视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2856E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▲1.分辨率≥400万像素，并在此分辨率下可输出≥25 fps实时图像；</w:t>
            </w:r>
          </w:p>
          <w:p w14:paraId="3AB47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▲2.支持≥1个RJ45 10 M/100 M自适应以太网口，1个内置麦克风；</w:t>
            </w:r>
          </w:p>
          <w:p w14:paraId="152E1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▲3.支持≥2种Smart侦测：越界侦测，区域入侵侦测；</w:t>
            </w:r>
          </w:p>
          <w:p w14:paraId="6007F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▲4.适用于道路、仓库、地下停车场、管道、园区等光线较暗或无光照环境；</w:t>
            </w:r>
          </w:p>
          <w:p w14:paraId="0E224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▲5.支持背光补偿，强光抑制，3D数字降噪，宽动态≥120 dB，适应不同环境；</w:t>
            </w:r>
          </w:p>
          <w:p w14:paraId="285B2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▲6.智能补光，支持白光/红外双补光，红外光≥50 m，白光≥30 m；</w:t>
            </w:r>
          </w:p>
          <w:p w14:paraId="6F7C4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7.符合IP67防尘防水设计；</w:t>
            </w:r>
          </w:p>
          <w:p w14:paraId="2864E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8.支持人形检测。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8C1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949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</w:tr>
      <w:tr w14:paraId="421F4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0118D92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5B003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枪机支架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1B43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海康威视、华为、宇视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48FC3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枪机壁装支架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9EB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868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</w:tr>
      <w:tr w14:paraId="19E9A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EEBE03B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0B9E9B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广角摄像机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B872C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海康威视、华为、宇视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3B2CD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▲1.分辨率≥2560 × 1440@25 fps，在该分辨率下可输出实时图像；</w:t>
            </w:r>
          </w:p>
          <w:p w14:paraId="2BAB7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▲2.采用高效阵列红外灯，红外照射距离≥10 m；</w:t>
            </w:r>
          </w:p>
          <w:p w14:paraId="4F0F7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▲3.遮挡检测：内置ToF传感器，可有效检测遮挡摄像机的行为，摄像机检测角度≥25°，检测距离≥30 cm；</w:t>
            </w:r>
          </w:p>
          <w:p w14:paraId="5B162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▲4.支持1路报警输入，1路报警输出，报警输出支持≥DC60 V，2 A；</w:t>
            </w:r>
          </w:p>
          <w:p w14:paraId="14519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▲5.内置MicroSD/MicroSDHC/MicroSDXC 插槽，支持≥512 GB；</w:t>
            </w:r>
          </w:p>
          <w:p w14:paraId="0B7BB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6.1个内置麦克风，1个内置扬声器，支持双向语音对讲；</w:t>
            </w:r>
          </w:p>
          <w:p w14:paraId="3B6F8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7.符合IK08防暴设计。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A31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45D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1D9C1A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46F4C06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AC6105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智能球机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189B37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海康威视、华为、宇视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49C9D805">
            <w:pPr>
              <w:bidi w:val="0"/>
              <w:spacing w:line="240" w:lineRule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1、分辨率≥400万，倍率≥25倍，摄像机靶面尺寸不小于1/1.8英寸。</w:t>
            </w:r>
          </w:p>
          <w:p w14:paraId="7A86F243">
            <w:pPr>
              <w:bidi w:val="0"/>
              <w:spacing w:line="240" w:lineRule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2、支持最低照度可达彩色≤0.0003lx，黑白≤0.0001lx，视频压缩标准支持H.265、H.264、MJPEG。</w:t>
            </w:r>
          </w:p>
          <w:p w14:paraId="4885742C">
            <w:pPr>
              <w:bidi w:val="0"/>
              <w:spacing w:line="240" w:lineRule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3、支持视频图像分辨率与帧率不小于2560×1440、30帧/秒，红外照射距离≥180m。</w:t>
            </w:r>
          </w:p>
          <w:p w14:paraId="33C52907">
            <w:pPr>
              <w:bidi w:val="0"/>
              <w:spacing w:line="240" w:lineRule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4、支持水平旋转范围360°连续旋转，垂直旋转范围不小于-15°～90°。</w:t>
            </w:r>
          </w:p>
          <w:p w14:paraId="2527162B">
            <w:pPr>
              <w:bidi w:val="0"/>
              <w:spacing w:line="240" w:lineRule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5、设备支持视频图像诊断设置功能，在IE浏览器或客户端软件下，具有亮度异常检测、偏色检测、雪花干扰检测、条纹干扰检测、画面冻结检测、信号丢失检测、清晰度异常检测、画面抖动检测、画面遮挡检测、花屏检测、增益失衡检测、异常光斑检测、紫边检测、ICR异常检测、保护膜未撕检测设置选项，当出现以上现象时，可触发报警输出并联动上传中心、发送邮件、录像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须提供厂家盖章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第三方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检测报告佐证本条功能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）</w:t>
            </w:r>
          </w:p>
          <w:p w14:paraId="164BB9BC">
            <w:pPr>
              <w:bidi w:val="0"/>
              <w:spacing w:line="240" w:lineRule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6、设备支持快速聚焦功能，录像通过单帧回放时应能保持每帧画面清晰稳定。</w:t>
            </w:r>
          </w:p>
          <w:p w14:paraId="198C34C4">
            <w:pPr>
              <w:bidi w:val="0"/>
              <w:spacing w:line="240" w:lineRule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7、当设备检测到雾的浓度达到设定的阈值时，可自动在算法透雾和光学透雾之间进行切换，设备具有不低于三种滤光片，在白天、夜晚及有雾情况下可自动切换不同的滤光片进行成像。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须提供厂家盖章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第三方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检测报告佐证本条功能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）</w:t>
            </w:r>
          </w:p>
          <w:p w14:paraId="29E8A8FF">
            <w:pPr>
              <w:bidi w:val="0"/>
              <w:spacing w:line="240" w:lineRule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8、可定时运行调预置位、自动巡航、自动扫描、模式路径等功能。</w:t>
            </w:r>
          </w:p>
          <w:p w14:paraId="670EE96A">
            <w:pPr>
              <w:bidi w:val="0"/>
              <w:spacing w:line="240" w:lineRule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9、支持同时抓拍≥15张人脸，支持对运动人脸进行检测、跟踪、抓拍、评分、筛选，输出最优的人脸抓图。</w:t>
            </w:r>
          </w:p>
          <w:p w14:paraId="0F582C73">
            <w:pPr>
              <w:bidi w:val="0"/>
              <w:spacing w:line="240" w:lineRule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10、支持≥8个场景下轮巡人脸抓拍，每个场景时间可设，支持车辆检测和混行检测，支持车牌颜色识别。</w:t>
            </w:r>
          </w:p>
          <w:p w14:paraId="3E186BFF">
            <w:pPr>
              <w:bidi w:val="0"/>
              <w:spacing w:line="240" w:lineRule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▲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11、可通过独立密码登录设备后台，并进行预置点调整、远程设置参数、远程升级格式化、远程回放和录像调取等操作，可对经过设定区域的人脸进行检测，抓拍图片、录像并给出报警提示。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须提供厂家盖章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第三方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  <w:t>检测报告佐证本条功能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）</w:t>
            </w:r>
          </w:p>
          <w:p w14:paraId="56B9C994">
            <w:pPr>
              <w:bidi w:val="0"/>
              <w:spacing w:line="240" w:lineRule="auto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12、支持≥7路报警输入、≥2路报警输出、≥1路音频输入、≥1路音频输出接口。</w:t>
            </w:r>
          </w:p>
          <w:p w14:paraId="42581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13、具备较好防护性能，支持≥IP66，具备较好的电磁兼容性，支持空气放电≥15KV，接触放电≥9KV，≥6KV防浪涌。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32B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71D1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90432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69D0F69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D9112A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球机支架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A38A3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海康威视、华为、宇视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44486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球机吊装支架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7B2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786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630E1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8DCD0AA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C384C8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5口千兆POE交换机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33B81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海康威视、华为、H3C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68ECB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▲1、6 口全千兆 RJ45 电口：4 口 PoE + 供电口，2 口独立千兆上联口；</w:t>
            </w:r>
          </w:p>
          <w:p w14:paraId="3DE4C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▲2、端口 10/100/1000M 自适应，自动线序识别；</w:t>
            </w:r>
          </w:p>
          <w:p w14:paraId="6DE02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▲3、支持 IEEE802.3af/at PoE + 标准，单口≥ 30W；</w:t>
            </w:r>
          </w:p>
          <w:p w14:paraId="58F55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▲4、整机 PoE 输出总功率≥65W；</w:t>
            </w:r>
          </w:p>
          <w:p w14:paraId="5759B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▲5、支持永久 PoE，断电重启摄像头不掉电；具备短路、过载保护；</w:t>
            </w:r>
          </w:p>
          <w:p w14:paraId="18978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6、交换容量≥12Gbps，包转发率≥9Mpps，MAC 地址表≥2K。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BAA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68A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31919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2C12204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6833BB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8口千兆POE交换机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741AD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海康威视、华为、H3C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53E47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▲1、安防系列千兆PoE交换机，交换容量≥20Gbps，包转发率≥15Mpps；</w:t>
            </w:r>
          </w:p>
          <w:p w14:paraId="63239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▲2、8个10/100/1000Mbps电口(支持POE+，整机PoE输出功率≥110W，单端口输出功率≥30W)，固化2个uplink口；</w:t>
            </w:r>
          </w:p>
          <w:p w14:paraId="27E53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3、桌面式铁壳交换机；端口支持优先供电；支持标准交换、端口隔离、长距传输。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362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901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CFCF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F21DBAF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9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3D2D5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16口千兆光模块交换机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621B7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海康威视、华为、H3C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8AEA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▲1.性能：交换容量≥36Gbps，转发性能≥26.8Mpps；</w:t>
            </w:r>
          </w:p>
          <w:p w14:paraId="384ED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 端口类型：≥16个千兆电口+2个千兆光口；</w:t>
            </w:r>
          </w:p>
          <w:p w14:paraId="684A1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 交换模式：支持存储转发模式；</w:t>
            </w:r>
          </w:p>
          <w:p w14:paraId="142F6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 无风扇，自然散热设计；</w:t>
            </w:r>
          </w:p>
          <w:p w14:paraId="285AD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5.MAC地址容量:≥8K。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82C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75A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B67F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23B1568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10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342B99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24口千兆光模块交换机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36560F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海康威视、华为、H3C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EE54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▲1、云管交换机，交换容量≥336Gbps，包转发率≥43.5Mpps；24个10/100/1000Mbps自适应电口，2个2.5G光口；</w:t>
            </w:r>
          </w:p>
          <w:p w14:paraId="080F6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2、机架式铁壳双模交换机；支持16K大MAC表项；无管模式下，支持标准交换、端口隔离、汇聚上联、防环路四种模式切换，支持优先转发端口；云管模式下，支持防环路、防私接、风暴抑制。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BA8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D91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21C5EC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EE7EA52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11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5AAEEA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光模块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910B5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海康威视、华为、H3C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top"/>
          </w:tcPr>
          <w:p w14:paraId="6F183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千兆SFP光模块，单模双纤，LC接口，波长1310nm，传输距离10km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18E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ACD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717B77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6659C59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12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30866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摄像机电源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81C7C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海康威视、华为、宇视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5325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DC12V2A室外电源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4C6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B4F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</w:tr>
      <w:tr w14:paraId="063D4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02BC6BE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13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C97B1C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光纤收发器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A5516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海康威视、华为、H3C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1E226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▲1、端口类型≥1个100/1000Mbps 自适应RJ45口，≥1个1000Mbps SC口；</w:t>
            </w:r>
          </w:p>
          <w:p w14:paraId="25F3BF9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▲2、工作温度：-20℃～60℃；</w:t>
            </w:r>
          </w:p>
          <w:p w14:paraId="0B5C8B6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3、传输距离≤3km；</w:t>
            </w:r>
          </w:p>
          <w:p w14:paraId="186762A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▲4、电源适配器输入：220V AC,50/60Hz,输出：5V DC,0.6A；</w:t>
            </w:r>
          </w:p>
          <w:p w14:paraId="479D311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5、存储温度：-40℃～70℃；</w:t>
            </w:r>
          </w:p>
          <w:p w14:paraId="48687C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6、工作湿度：10%～90%RH；</w:t>
            </w:r>
          </w:p>
          <w:p w14:paraId="466BFF2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7、存储湿度：10%～90%RH；</w:t>
            </w:r>
          </w:p>
          <w:p w14:paraId="49625EC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▲8、工作波长TX:1550nm，RX:1310nm（TX:1310nm，RX:1550nm）；</w:t>
            </w:r>
          </w:p>
          <w:p w14:paraId="4F61DAD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9、超强6KV防雷设计，降低端口浪涌。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3BA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2C7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7B2AB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A0BED03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14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930F6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无线网桥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3749A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海康威视、华为、H3C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28F8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▲500米 2.4GHz室外网桥（套装）</w:t>
            </w:r>
          </w:p>
          <w:p w14:paraId="01948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成对免配置|频率自优化|故障自愈|2.4GHz窄带宽|IP55防水防尘|无线热点管理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849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6CF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5ABD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B1F9DBF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15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E2A305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尾纤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838019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国产优质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81A6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1.5M LC-LC、1.5M SC-FC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59B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206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7A68DA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7F6F6E2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16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70FE37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漏保开并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8A302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国产优质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274A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1P开关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08D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800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45147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3E20D65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17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07FE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智能球机维修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CDB71F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375AAE6">
            <w:pPr>
              <w:bidi w:val="0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  <w:t>返厂维修，包含维修费、配件费等费用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296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4A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6D84EA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F8EF097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18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D4FA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多目摄像机维修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73356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6D1A17D">
            <w:pPr>
              <w:bidi w:val="0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  <w:t>返厂维修，包含维修费、配件费等费用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D44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C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147B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EE03AF1">
            <w:pPr>
              <w:pStyle w:val="7"/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19</w:t>
            </w:r>
          </w:p>
        </w:tc>
        <w:tc>
          <w:tcPr>
            <w:tcW w:w="5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1B2B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防火云台/红外维修</w:t>
            </w:r>
          </w:p>
        </w:tc>
        <w:tc>
          <w:tcPr>
            <w:tcW w:w="6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FBC6C0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2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F863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  <w:t>返厂维修，包含维修费、配件费等费用</w:t>
            </w: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45C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3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10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</w:tbl>
    <w:tbl>
      <w:tblPr>
        <w:tblStyle w:val="4"/>
        <w:tblpPr w:leftFromText="180" w:rightFromText="180" w:vertAnchor="text" w:horzAnchor="page" w:tblpX="1425" w:tblpY="18"/>
        <w:tblOverlap w:val="never"/>
        <w:tblW w:w="8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6844"/>
      </w:tblGrid>
      <w:tr w14:paraId="5B8D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6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EAB4E">
            <w:pPr>
              <w:tabs>
                <w:tab w:val="left" w:pos="1820"/>
              </w:tabs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二、商务需求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▲的实质性技术参数要求必须满足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）</w:t>
            </w:r>
          </w:p>
        </w:tc>
      </w:tr>
      <w:tr w14:paraId="569FA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5B3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Style w:val="6"/>
                <w:rFonts w:hint="eastAsia" w:ascii="仿宋" w:hAnsi="仿宋" w:eastAsia="仿宋" w:cs="仿宋"/>
                <w:bCs/>
                <w:color w:val="000000"/>
                <w:sz w:val="24"/>
              </w:rPr>
              <w:t>服务地点</w:t>
            </w:r>
          </w:p>
        </w:tc>
        <w:tc>
          <w:tcPr>
            <w:tcW w:w="6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A6449">
            <w:pPr>
              <w:widowControl/>
              <w:spacing w:line="360" w:lineRule="atLeast"/>
              <w:ind w:left="-36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广广西中医药大学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>仙葫</w:t>
            </w:r>
            <w:r>
              <w:rPr>
                <w:rFonts w:hint="eastAsia" w:ascii="仿宋" w:hAnsi="仿宋" w:eastAsia="仿宋" w:cs="仿宋"/>
                <w:color w:val="FF000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明秀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校区指定地点。</w:t>
            </w:r>
          </w:p>
        </w:tc>
      </w:tr>
      <w:tr w14:paraId="559CE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5752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Style w:val="6"/>
                <w:rFonts w:hint="eastAsia" w:ascii="仿宋" w:hAnsi="仿宋" w:eastAsia="仿宋" w:cs="仿宋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</w:rPr>
              <w:t>▲</w:t>
            </w:r>
            <w:r>
              <w:rPr>
                <w:rStyle w:val="6"/>
                <w:rFonts w:hint="eastAsia" w:ascii="仿宋" w:hAnsi="仿宋" w:eastAsia="仿宋" w:cs="仿宋"/>
                <w:bCs/>
                <w:color w:val="auto"/>
                <w:sz w:val="24"/>
                <w:lang w:val="en-US" w:eastAsia="zh-CN"/>
              </w:rPr>
              <w:t>交货要求</w:t>
            </w:r>
          </w:p>
        </w:tc>
        <w:tc>
          <w:tcPr>
            <w:tcW w:w="6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360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1.到货交付要求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供应商须自本项目成交之日起 7日内，将全部设备送达指定现场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并配合甲方完成到货清点验收；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交货时同步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提交设备安装点位表，点位表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需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标注每台设备详细安装位置信息。</w:t>
            </w:r>
          </w:p>
          <w:p w14:paraId="1DB5B0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安装调试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设备、点位表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经甲方验收审核合格后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供应商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需在7日内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完成全部设备安装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调试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，确保设备正常投入使用。</w:t>
            </w:r>
          </w:p>
        </w:tc>
      </w:tr>
      <w:tr w14:paraId="00226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9EC3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Style w:val="6"/>
                <w:rFonts w:hint="eastAsia" w:ascii="仿宋" w:hAnsi="仿宋" w:eastAsia="仿宋" w:cs="仿宋"/>
                <w:bCs/>
                <w:color w:val="000000"/>
                <w:sz w:val="24"/>
              </w:rPr>
              <w:t>质保期</w:t>
            </w:r>
          </w:p>
        </w:tc>
        <w:tc>
          <w:tcPr>
            <w:tcW w:w="6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13839">
            <w:pPr>
              <w:widowControl/>
              <w:spacing w:line="360" w:lineRule="atLeast"/>
              <w:ind w:left="-36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≥自最终验收合格之日起计算≥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年</w:t>
            </w:r>
          </w:p>
        </w:tc>
      </w:tr>
      <w:tr w14:paraId="31C79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984A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Style w:val="6"/>
                <w:rFonts w:hint="eastAsia" w:ascii="仿宋" w:hAnsi="仿宋" w:eastAsia="仿宋" w:cs="仿宋"/>
                <w:bCs/>
                <w:color w:val="000000"/>
                <w:sz w:val="24"/>
              </w:rPr>
              <w:t>付款方式</w:t>
            </w:r>
          </w:p>
        </w:tc>
        <w:tc>
          <w:tcPr>
            <w:tcW w:w="6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AEE21">
            <w:pPr>
              <w:widowControl/>
              <w:numPr>
                <w:ilvl w:val="0"/>
                <w:numId w:val="1"/>
              </w:numPr>
              <w:spacing w:line="360" w:lineRule="atLeast"/>
              <w:ind w:left="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全部货物安装验收合格后 15 个工作日内，凭全额增值税普通发票一次性支付（财政封账、假期顺延）。</w:t>
            </w:r>
          </w:p>
        </w:tc>
      </w:tr>
      <w:tr w14:paraId="67510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4A8E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Style w:val="6"/>
                <w:rFonts w:hint="eastAsia" w:ascii="仿宋" w:hAnsi="仿宋" w:eastAsia="仿宋" w:cs="仿宋"/>
                <w:bCs/>
                <w:color w:val="000000"/>
                <w:sz w:val="24"/>
              </w:rPr>
              <w:t>报价方式</w:t>
            </w:r>
          </w:p>
        </w:tc>
        <w:tc>
          <w:tcPr>
            <w:tcW w:w="6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ADEEB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人民币包干报价，含产品、运输、装卸、安装、辅材、调试、保险、检测、税费、售后服务等全部费用</w:t>
            </w:r>
          </w:p>
        </w:tc>
      </w:tr>
      <w:tr w14:paraId="7F2B2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BB6EC">
            <w:pPr>
              <w:pStyle w:val="3"/>
              <w:widowControl/>
              <w:spacing w:beforeAutospacing="0" w:afterAutospacing="0" w:line="360" w:lineRule="atLeas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售后服务要求</w:t>
            </w:r>
          </w:p>
          <w:p w14:paraId="48F4718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580A7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1.故障响应：接到通知24 小时内到场，24 小时内维修完毕。</w:t>
            </w:r>
          </w:p>
          <w:p w14:paraId="7574C24B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2.紧急抢修：24 小时内到场并排除故障。</w:t>
            </w:r>
          </w:p>
          <w:p w14:paraId="7DB3C5D9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3.维修保障：同一产品经 2 次维修仍不能正常使用，供应商免费更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换，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更换部件重新计算质保期。</w:t>
            </w:r>
          </w:p>
          <w:p w14:paraId="77BE1509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4.质保期内：免费上门、免费维修、免费更换非人为损坏配件。</w:t>
            </w:r>
          </w:p>
        </w:tc>
      </w:tr>
      <w:tr w14:paraId="74C5F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BBAD0">
            <w:pPr>
              <w:pStyle w:val="3"/>
              <w:widowControl/>
              <w:spacing w:beforeAutospacing="0" w:afterAutospacing="0" w:line="360" w:lineRule="atLeas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验收要求</w:t>
            </w:r>
          </w:p>
          <w:p w14:paraId="1E6FF7C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6F2AC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1.到货验收：核对品牌、材质、数量、规格，不符合要求 2 日内更换补齐。</w:t>
            </w:r>
          </w:p>
          <w:p w14:paraId="0F313C56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2.安装调试：供应商负责安装、培训，全程安全施工，承担安全责任。</w:t>
            </w:r>
          </w:p>
          <w:p w14:paraId="0FB08CB2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3.最终验收：安装完成后双方共同验收，供应商必须在场；不合格2日内整改并重新验收。</w:t>
            </w:r>
          </w:p>
          <w:p w14:paraId="3A41C537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4.货物风险自最终验收合格之日起由采购人承担。</w:t>
            </w:r>
          </w:p>
        </w:tc>
      </w:tr>
      <w:tr w14:paraId="7500F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E9A87">
            <w:pPr>
              <w:pStyle w:val="3"/>
              <w:widowControl/>
              <w:spacing w:beforeAutospacing="0" w:afterAutospacing="0" w:line="360" w:lineRule="atLeas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违约责任</w:t>
            </w:r>
          </w:p>
          <w:p w14:paraId="78E2146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6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ACCEE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1.逾期交付 / 安装：每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</w:rPr>
              <w:t>日按合同总额 1%</w:t>
            </w: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color w:val="000000"/>
                <w:sz w:val="24"/>
              </w:rPr>
              <w:t>支付违约金；逾期超7日，采购人可解除合同，供应商支付合同总额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</w:rPr>
              <w:t>20% 违约金。</w:t>
            </w:r>
          </w:p>
          <w:p w14:paraId="16C5D371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</w:rPr>
              <w:t>2.产品不符合要求：采购人有权拒收、退货、更换或降价；拒绝整改的，采购人可单方解约，供应商支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付合同总额 20% 违约金。</w:t>
            </w:r>
          </w:p>
          <w:p w14:paraId="70517E9C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3.未履行保修义务：每次支付</w:t>
            </w:r>
            <w:r>
              <w:rPr>
                <w:rFonts w:hint="eastAsia" w:ascii="仿宋" w:hAnsi="仿宋" w:eastAsia="仿宋" w:cs="仿宋"/>
                <w:color w:val="000000"/>
                <w:sz w:val="24"/>
                <w:u w:val="single"/>
              </w:rPr>
              <w:t>合同总额 3‰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违约金，采购人可委托第三方维修，费用由供应商承担。</w:t>
            </w:r>
          </w:p>
          <w:p w14:paraId="7C2C7D82">
            <w:pPr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违约方赔偿守约方全部经济损失</w:t>
            </w:r>
          </w:p>
        </w:tc>
      </w:tr>
    </w:tbl>
    <w:p w14:paraId="2F33B4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1BAF8C"/>
    <w:multiLevelType w:val="multilevel"/>
    <w:tmpl w:val="B31BAF8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ED40BD39"/>
    <w:multiLevelType w:val="multilevel"/>
    <w:tmpl w:val="ED40BD3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360BF4"/>
    <w:rsid w:val="7036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unhideWhenUsed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2026-07-08T10:34:00Z</dcterms:created>
  <dc:creator>龙</dc:creator>
  <cp:lastModifiedBy>龙</cp:lastModifiedBy>
  <dcterms:modified xsi:type="dcterms:W3CDTF">2026-07-08T10:35:02Z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82E39D7C034046989B537F9615ED3F6F_11</vt:lpwstr>
  </property>
  <property fmtid="{D5CDD505-2E9C-101B-9397-08002B2CF9AE}" pid="4" name="KSOTemplateDocerSaveRecord">
    <vt:lpwstr>eyJoZGlkIjoiMmM1ZjAyNmRlNTA4ZmI2MTk1YmMzMzIzZmQxOWZkZGUiLCJ1c2VySWQiOiI0ODA2MTg2ODUifQ==</vt:lpwstr>
  </property>
</Properties>
</file>