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B6522">
      <w:pPr>
        <w:pStyle w:val="2"/>
        <w:widowControl/>
        <w:spacing w:beforeAutospacing="0" w:afterAutospacing="0" w:line="360" w:lineRule="atLeast"/>
        <w:rPr>
          <w:rFonts w:ascii="仿宋" w:hAnsi="仿宋" w:eastAsia="仿宋" w:cs="仿宋_GB2312"/>
          <w:color w:val="000000"/>
          <w:sz w:val="32"/>
          <w:szCs w:val="32"/>
        </w:rPr>
      </w:pPr>
      <w:r>
        <w:rPr>
          <w:rFonts w:ascii="仿宋" w:hAnsi="仿宋" w:eastAsia="仿宋" w:cs="仿宋_GB2312"/>
          <w:color w:val="000000"/>
          <w:sz w:val="32"/>
          <w:szCs w:val="32"/>
        </w:rPr>
        <w:t>附件 3：采购需求</w:t>
      </w:r>
    </w:p>
    <w:p w14:paraId="0CC30CDD">
      <w:pPr>
        <w:pStyle w:val="3"/>
        <w:widowControl/>
        <w:spacing w:beforeAutospacing="0" w:afterAutospacing="0" w:line="360" w:lineRule="atLeast"/>
        <w:ind w:firstLine="643" w:firstLineChars="200"/>
        <w:rPr>
          <w:rFonts w:ascii="仿宋" w:hAnsi="仿宋" w:eastAsia="仿宋"/>
          <w:color w:val="000000"/>
          <w:sz w:val="32"/>
          <w:szCs w:val="32"/>
        </w:rPr>
      </w:pPr>
      <w:r>
        <w:rPr>
          <w:rFonts w:ascii="仿宋" w:hAnsi="仿宋" w:eastAsia="仿宋"/>
          <w:color w:val="000000"/>
          <w:sz w:val="32"/>
          <w:szCs w:val="32"/>
        </w:rPr>
        <w:t>一、项目概况</w:t>
      </w:r>
    </w:p>
    <w:p w14:paraId="57141914">
      <w:pPr>
        <w:widowControl/>
        <w:spacing w:line="360" w:lineRule="atLeast"/>
        <w:ind w:firstLine="480" w:firstLineChars="200"/>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lang w:bidi="ar"/>
        </w:rPr>
        <w:t>项目名称：</w:t>
      </w:r>
      <w:r>
        <w:rPr>
          <w:rFonts w:hint="eastAsia" w:ascii="仿宋" w:hAnsi="仿宋" w:eastAsia="仿宋" w:cs="宋体"/>
          <w:color w:val="000000"/>
          <w:kern w:val="0"/>
          <w:sz w:val="24"/>
          <w:szCs w:val="24"/>
          <w:lang w:val="en-US" w:eastAsia="zh-CN" w:bidi="ar"/>
        </w:rPr>
        <w:t>广西中医药大学仙葫校区五和食堂四楼教职工餐厅室内提升改造项目（</w:t>
      </w:r>
      <w:r>
        <w:rPr>
          <w:rFonts w:hint="eastAsia" w:ascii="仿宋" w:hAnsi="仿宋" w:eastAsia="仿宋" w:cs="宋体"/>
          <w:color w:val="000000"/>
          <w:kern w:val="0"/>
          <w:sz w:val="24"/>
          <w:szCs w:val="24"/>
          <w:highlight w:val="yellow"/>
          <w:lang w:val="en-US" w:eastAsia="zh-CN" w:bidi="ar"/>
        </w:rPr>
        <w:t>编号：GUCM-2026-XJ-006-XM</w:t>
      </w:r>
      <w:r>
        <w:rPr>
          <w:rFonts w:hint="eastAsia" w:ascii="仿宋" w:hAnsi="仿宋" w:eastAsia="仿宋" w:cs="宋体"/>
          <w:color w:val="000000"/>
          <w:kern w:val="0"/>
          <w:sz w:val="24"/>
          <w:szCs w:val="24"/>
          <w:lang w:val="en-US" w:eastAsia="zh-CN" w:bidi="ar"/>
        </w:rPr>
        <w:t>）</w:t>
      </w:r>
    </w:p>
    <w:p w14:paraId="31D44414">
      <w:pPr>
        <w:widowControl/>
        <w:spacing w:line="360" w:lineRule="atLeast"/>
        <w:ind w:firstLine="480" w:firstLineChars="200"/>
        <w:jc w:val="left"/>
        <w:rPr>
          <w:rFonts w:hint="eastAsia" w:ascii="仿宋" w:hAnsi="仿宋" w:eastAsia="仿宋"/>
          <w:color w:val="000000"/>
          <w:sz w:val="24"/>
        </w:rPr>
      </w:pPr>
      <w:r>
        <w:rPr>
          <w:rFonts w:hint="eastAsia" w:ascii="仿宋" w:hAnsi="仿宋" w:eastAsia="仿宋" w:cs="宋体"/>
          <w:color w:val="000000"/>
          <w:kern w:val="0"/>
          <w:sz w:val="24"/>
          <w:lang w:bidi="ar"/>
        </w:rPr>
        <w:t>采购内容：</w:t>
      </w:r>
      <w:r>
        <w:rPr>
          <w:rFonts w:hint="eastAsia" w:ascii="仿宋" w:hAnsi="仿宋" w:eastAsia="仿宋" w:cs="宋体"/>
          <w:color w:val="000000"/>
          <w:kern w:val="0"/>
          <w:sz w:val="24"/>
          <w:szCs w:val="24"/>
          <w:lang w:val="en-US" w:eastAsia="zh-CN" w:bidi="ar"/>
        </w:rPr>
        <w:t>仙葫校区五和食堂四楼教职工餐厅室内进行提升改造，改造面积约1000㎡，工作内容为就餐区和后厨部分区域的建设，吊顶建设，消防建设，给排水工程等，具体详见施工图及工程量清单。</w:t>
      </w:r>
    </w:p>
    <w:p w14:paraId="151D3330">
      <w:pPr>
        <w:pStyle w:val="3"/>
        <w:widowControl/>
        <w:spacing w:beforeAutospacing="0" w:afterAutospacing="0" w:line="360" w:lineRule="atLeast"/>
        <w:ind w:firstLine="643" w:firstLineChars="200"/>
        <w:rPr>
          <w:rFonts w:ascii="仿宋" w:hAnsi="仿宋" w:eastAsia="仿宋"/>
          <w:color w:val="000000"/>
          <w:sz w:val="24"/>
          <w:szCs w:val="24"/>
        </w:rPr>
      </w:pPr>
      <w:r>
        <w:rPr>
          <w:rFonts w:ascii="仿宋" w:hAnsi="仿宋" w:eastAsia="仿宋"/>
          <w:color w:val="000000"/>
          <w:sz w:val="32"/>
          <w:szCs w:val="32"/>
        </w:rPr>
        <w:t>二、▲实质性技术参数要求（必须满足）</w:t>
      </w:r>
    </w:p>
    <w:p w14:paraId="5CE67F37">
      <w:pPr>
        <w:rPr>
          <w:rFonts w:hint="eastAsia" w:ascii="仿宋" w:hAnsi="仿宋" w:eastAsia="仿宋"/>
          <w:sz w:val="24"/>
        </w:rPr>
      </w:pPr>
    </w:p>
    <w:tbl>
      <w:tblPr>
        <w:tblStyle w:val="5"/>
        <w:tblW w:w="5457" w:type="pct"/>
        <w:tblInd w:w="-417" w:type="dxa"/>
        <w:tblLayout w:type="autofit"/>
        <w:tblCellMar>
          <w:top w:w="0" w:type="dxa"/>
          <w:left w:w="0" w:type="dxa"/>
          <w:bottom w:w="0" w:type="dxa"/>
          <w:right w:w="0" w:type="dxa"/>
        </w:tblCellMar>
      </w:tblPr>
      <w:tblGrid>
        <w:gridCol w:w="799"/>
        <w:gridCol w:w="1024"/>
        <w:gridCol w:w="5529"/>
        <w:gridCol w:w="844"/>
        <w:gridCol w:w="994"/>
      </w:tblGrid>
      <w:tr w14:paraId="66263901">
        <w:tblPrEx>
          <w:tblCellMar>
            <w:top w:w="0" w:type="dxa"/>
            <w:left w:w="0" w:type="dxa"/>
            <w:bottom w:w="0" w:type="dxa"/>
            <w:right w:w="0" w:type="dxa"/>
          </w:tblCellMar>
        </w:tblPrEx>
        <w:trPr>
          <w:trHeight w:val="590" w:hRule="atLeast"/>
        </w:trPr>
        <w:tc>
          <w:tcPr>
            <w:tcW w:w="5000" w:type="pct"/>
            <w:gridSpan w:val="5"/>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31FDB2D">
            <w:pPr>
              <w:rPr>
                <w:rFonts w:hint="eastAsia" w:ascii="仿宋" w:hAnsi="仿宋" w:eastAsia="仿宋"/>
                <w:b/>
                <w:bCs/>
                <w:color w:val="000000"/>
                <w:sz w:val="24"/>
              </w:rPr>
            </w:pPr>
            <w:r>
              <w:rPr>
                <w:rFonts w:hint="eastAsia" w:ascii="仿宋" w:hAnsi="仿宋" w:eastAsia="仿宋"/>
                <w:b/>
                <w:bCs/>
                <w:color w:val="000000"/>
                <w:sz w:val="24"/>
              </w:rPr>
              <w:t>一、技术要求（</w:t>
            </w:r>
            <w:r>
              <w:rPr>
                <w:rFonts w:hint="eastAsia" w:ascii="仿宋" w:hAnsi="仿宋" w:eastAsia="仿宋"/>
                <w:b/>
                <w:sz w:val="24"/>
              </w:rPr>
              <w:t>▲的实质性技术参数要求必须满足</w:t>
            </w:r>
            <w:r>
              <w:rPr>
                <w:rFonts w:hint="eastAsia" w:ascii="仿宋" w:hAnsi="仿宋" w:eastAsia="仿宋"/>
                <w:b/>
                <w:bCs/>
                <w:color w:val="000000"/>
                <w:sz w:val="24"/>
              </w:rPr>
              <w:t>）</w:t>
            </w:r>
          </w:p>
        </w:tc>
      </w:tr>
      <w:tr w14:paraId="4AAD4176">
        <w:tblPrEx>
          <w:tblCellMar>
            <w:top w:w="0" w:type="dxa"/>
            <w:left w:w="0" w:type="dxa"/>
            <w:bottom w:w="0" w:type="dxa"/>
            <w:right w:w="0" w:type="dxa"/>
          </w:tblCellMar>
        </w:tblPrEx>
        <w:trPr>
          <w:trHeight w:val="800" w:hRule="atLeast"/>
        </w:trPr>
        <w:tc>
          <w:tcPr>
            <w:tcW w:w="435"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B3FA344">
            <w:pPr>
              <w:jc w:val="center"/>
              <w:rPr>
                <w:rFonts w:hint="eastAsia" w:ascii="仿宋" w:hAnsi="仿宋" w:eastAsia="仿宋"/>
                <w:b/>
                <w:bCs/>
                <w:color w:val="000000"/>
                <w:kern w:val="0"/>
                <w:sz w:val="24"/>
              </w:rPr>
            </w:pPr>
            <w:r>
              <w:rPr>
                <w:rFonts w:hint="eastAsia" w:ascii="仿宋" w:hAnsi="仿宋" w:eastAsia="仿宋"/>
                <w:b/>
                <w:bCs/>
                <w:color w:val="000000"/>
                <w:kern w:val="0"/>
                <w:sz w:val="24"/>
              </w:rPr>
              <w:t>序号</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FCA47D2">
            <w:pPr>
              <w:snapToGrid w:val="0"/>
              <w:jc w:val="center"/>
              <w:rPr>
                <w:rFonts w:hint="eastAsia" w:ascii="仿宋" w:hAnsi="仿宋" w:eastAsia="仿宋"/>
                <w:b/>
                <w:bCs/>
                <w:color w:val="000000"/>
                <w:sz w:val="24"/>
              </w:rPr>
            </w:pPr>
            <w:r>
              <w:rPr>
                <w:rFonts w:hint="eastAsia" w:ascii="仿宋" w:hAnsi="仿宋" w:eastAsia="仿宋"/>
                <w:b/>
                <w:bCs/>
                <w:color w:val="000000"/>
                <w:sz w:val="24"/>
              </w:rPr>
              <w:t>采购内容</w:t>
            </w:r>
          </w:p>
        </w:tc>
        <w:tc>
          <w:tcPr>
            <w:tcW w:w="3008"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5A4060">
            <w:pPr>
              <w:jc w:val="center"/>
              <w:rPr>
                <w:rFonts w:hint="eastAsia" w:ascii="仿宋" w:hAnsi="仿宋" w:eastAsia="仿宋"/>
                <w:b/>
                <w:bCs/>
                <w:color w:val="000000"/>
                <w:sz w:val="24"/>
              </w:rPr>
            </w:pPr>
            <w:r>
              <w:rPr>
                <w:rFonts w:hint="eastAsia" w:ascii="仿宋" w:hAnsi="仿宋" w:eastAsia="仿宋" w:cs="仿宋_GB2312"/>
                <w:b/>
                <w:bCs/>
                <w:color w:val="000000"/>
                <w:kern w:val="0"/>
                <w:sz w:val="24"/>
              </w:rPr>
              <w:t>技术参数</w:t>
            </w:r>
          </w:p>
        </w:tc>
        <w:tc>
          <w:tcPr>
            <w:tcW w:w="459" w:type="pct"/>
            <w:tcBorders>
              <w:top w:val="single" w:color="auto" w:sz="4" w:space="0"/>
              <w:left w:val="nil"/>
              <w:bottom w:val="single" w:color="auto" w:sz="4" w:space="0"/>
              <w:right w:val="single" w:color="auto" w:sz="4" w:space="0"/>
            </w:tcBorders>
            <w:vAlign w:val="center"/>
          </w:tcPr>
          <w:p w14:paraId="3A9E01C3">
            <w:pPr>
              <w:jc w:val="center"/>
              <w:rPr>
                <w:rFonts w:hint="eastAsia" w:ascii="仿宋" w:hAnsi="仿宋" w:eastAsia="仿宋" w:cs="仿宋_GB2312"/>
                <w:b/>
                <w:bCs/>
                <w:color w:val="000000"/>
                <w:kern w:val="0"/>
                <w:sz w:val="24"/>
              </w:rPr>
            </w:pPr>
            <w:r>
              <w:rPr>
                <w:rFonts w:hint="eastAsia" w:ascii="仿宋" w:hAnsi="仿宋" w:eastAsia="仿宋" w:cs="仿宋_GB2312"/>
                <w:b/>
                <w:bCs/>
                <w:color w:val="000000"/>
                <w:kern w:val="0"/>
                <w:sz w:val="24"/>
              </w:rPr>
              <w:t>计量</w:t>
            </w:r>
          </w:p>
          <w:p w14:paraId="4D2852BC">
            <w:pPr>
              <w:jc w:val="center"/>
              <w:rPr>
                <w:rFonts w:hint="eastAsia" w:ascii="仿宋" w:hAnsi="仿宋" w:eastAsia="仿宋"/>
                <w:b/>
                <w:bCs/>
                <w:color w:val="000000"/>
                <w:sz w:val="24"/>
              </w:rPr>
            </w:pPr>
            <w:r>
              <w:rPr>
                <w:rFonts w:hint="eastAsia" w:ascii="仿宋" w:hAnsi="仿宋" w:eastAsia="仿宋" w:cs="仿宋_GB2312"/>
                <w:b/>
                <w:bCs/>
                <w:color w:val="000000"/>
                <w:kern w:val="0"/>
                <w:sz w:val="24"/>
              </w:rPr>
              <w:t>单位</w:t>
            </w:r>
          </w:p>
        </w:tc>
        <w:tc>
          <w:tcPr>
            <w:tcW w:w="539" w:type="pct"/>
            <w:tcBorders>
              <w:top w:val="single" w:color="auto" w:sz="4" w:space="0"/>
              <w:left w:val="nil"/>
              <w:bottom w:val="single" w:color="auto" w:sz="4" w:space="0"/>
              <w:right w:val="single" w:color="auto" w:sz="4" w:space="0"/>
            </w:tcBorders>
            <w:vAlign w:val="center"/>
          </w:tcPr>
          <w:p w14:paraId="615E66D9">
            <w:pPr>
              <w:jc w:val="center"/>
              <w:rPr>
                <w:rFonts w:hint="eastAsia" w:ascii="仿宋" w:hAnsi="仿宋" w:eastAsia="仿宋"/>
                <w:b/>
                <w:bCs/>
                <w:color w:val="000000"/>
                <w:sz w:val="24"/>
              </w:rPr>
            </w:pPr>
            <w:r>
              <w:rPr>
                <w:rFonts w:hint="eastAsia" w:ascii="仿宋" w:hAnsi="仿宋" w:eastAsia="仿宋" w:cs="仿宋_GB2312"/>
                <w:b/>
                <w:bCs/>
                <w:color w:val="000000"/>
                <w:kern w:val="0"/>
                <w:sz w:val="24"/>
              </w:rPr>
              <w:t>数量</w:t>
            </w:r>
          </w:p>
        </w:tc>
      </w:tr>
      <w:tr w14:paraId="5015C836">
        <w:tblPrEx>
          <w:tblCellMar>
            <w:top w:w="0" w:type="dxa"/>
            <w:left w:w="0" w:type="dxa"/>
            <w:bottom w:w="0" w:type="dxa"/>
            <w:right w:w="0" w:type="dxa"/>
          </w:tblCellMar>
        </w:tblPrEx>
        <w:trPr>
          <w:trHeight w:val="942" w:hRule="atLeast"/>
        </w:trPr>
        <w:tc>
          <w:tcPr>
            <w:tcW w:w="435"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F689BB9">
            <w:pPr>
              <w:pStyle w:val="8"/>
              <w:widowControl/>
              <w:ind w:firstLine="0" w:firstLineChars="0"/>
              <w:textAlignment w:val="center"/>
              <w:rPr>
                <w:rFonts w:hint="eastAsia" w:ascii="仿宋" w:hAnsi="仿宋" w:eastAsia="仿宋" w:cs="宋体"/>
                <w:color w:val="000000"/>
                <w:kern w:val="0"/>
                <w:sz w:val="24"/>
                <w:lang w:bidi="ar"/>
              </w:rPr>
            </w:pPr>
            <w:r>
              <w:rPr>
                <w:rFonts w:hint="eastAsia" w:ascii="仿宋" w:hAnsi="仿宋" w:eastAsia="仿宋" w:cs="宋体"/>
                <w:color w:val="000000"/>
                <w:kern w:val="0"/>
                <w:sz w:val="24"/>
                <w:lang w:bidi="ar"/>
              </w:rPr>
              <w:t>1</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794272D">
            <w:pPr>
              <w:widowControl/>
              <w:spacing w:line="360" w:lineRule="atLeast"/>
              <w:jc w:val="left"/>
              <w:rPr>
                <w:rFonts w:hint="eastAsia" w:ascii="仿宋" w:hAnsi="仿宋" w:eastAsia="仿宋" w:cs="宋体"/>
                <w:color w:val="000000"/>
                <w:kern w:val="0"/>
                <w:sz w:val="24"/>
                <w:lang w:bidi="ar"/>
              </w:rPr>
            </w:pPr>
            <w:r>
              <w:rPr>
                <w:rFonts w:hint="eastAsia" w:ascii="仿宋" w:hAnsi="仿宋" w:eastAsia="仿宋" w:cs="宋体"/>
                <w:color w:val="000000"/>
                <w:kern w:val="0"/>
                <w:sz w:val="24"/>
                <w:szCs w:val="24"/>
                <w:lang w:val="en-US" w:eastAsia="zh-CN" w:bidi="ar"/>
              </w:rPr>
              <w:t>广西中医药大学仙葫校区五和食堂四楼教职工餐厅室内提升改造项目</w:t>
            </w:r>
          </w:p>
        </w:tc>
        <w:tc>
          <w:tcPr>
            <w:tcW w:w="3008"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FED1BFD">
            <w:pPr>
              <w:pStyle w:val="4"/>
              <w:keepNext w:val="0"/>
              <w:keepLines w:val="0"/>
              <w:pageBreakBefore w:val="0"/>
              <w:widowControl w:val="0"/>
              <w:kinsoku/>
              <w:wordWrap/>
              <w:overflowPunct/>
              <w:topLinePunct w:val="0"/>
              <w:autoSpaceDE/>
              <w:autoSpaceDN/>
              <w:bidi w:val="0"/>
              <w:adjustRightInd/>
              <w:spacing w:after="0" w:line="560" w:lineRule="exact"/>
              <w:jc w:val="both"/>
              <w:textAlignment w:val="auto"/>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施工技术及质量标准要求：</w:t>
            </w:r>
          </w:p>
          <w:p w14:paraId="16B17FAA">
            <w:pPr>
              <w:widowControl/>
              <w:spacing w:line="360" w:lineRule="atLeast"/>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1.技术标准和要求：符合国家现行的工程建设标准、技术规范及强制性标准条文，以及施工图纸载明的其他有关规范标准。</w:t>
            </w:r>
          </w:p>
          <w:p w14:paraId="2A352125">
            <w:pPr>
              <w:widowControl/>
              <w:spacing w:line="360" w:lineRule="atLeast"/>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2.质量标准：符合设计要求及国家施工验收规范合格标准</w:t>
            </w:r>
          </w:p>
          <w:p w14:paraId="496B9F0B">
            <w:pPr>
              <w:widowControl/>
              <w:spacing w:line="360" w:lineRule="atLeast"/>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3.验收标准、规范：国家、地方相关法律和规范规定的合格验收标准。</w:t>
            </w:r>
          </w:p>
          <w:p w14:paraId="04850C6E">
            <w:pPr>
              <w:widowControl/>
              <w:spacing w:line="360" w:lineRule="atLeast"/>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适用于合同的其他规范性文件：《中华人民共和国民法典》、《中华人民共和国建筑法》、《中华人民共和国安全生产法》、《建设工程质量管理条例》、《建设工程安全生产管理条例》以及合同签订时现行的国家法律和行政法规、工程所在地政府的有关法规和规章及规范性文件。</w:t>
            </w:r>
          </w:p>
          <w:p w14:paraId="5A988362">
            <w:pPr>
              <w:widowControl/>
              <w:spacing w:line="360" w:lineRule="atLeast"/>
              <w:jc w:val="left"/>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5.适用于工程的标准规范包括：《建设工程工程量清单计价规范》（GB/T50500-2024）、《建设工程工程量清单计价规范（GB/T50500-2024）广西壮族自治区实施细则》《建设工程工程量计算规范》（GB/T 50854～50862-2024）、《建设工程工程量清单计算规范（GB/T 50854～50862-2024）广西壮族自治区实施细则》《建筑工程施工发包与承包计价管理办法》等国家及工程所在地关于建设工程的标准、规范、行业标准、规程等。</w:t>
            </w:r>
          </w:p>
          <w:p w14:paraId="27F06D7C">
            <w:pPr>
              <w:widowControl/>
              <w:spacing w:line="360" w:lineRule="atLeast"/>
              <w:jc w:val="left"/>
              <w:rPr>
                <w:rFonts w:hint="eastAsia" w:ascii="仿宋" w:hAnsi="仿宋" w:eastAsia="仿宋" w:cs="宋体"/>
                <w:color w:val="000000"/>
                <w:kern w:val="0"/>
                <w:sz w:val="24"/>
                <w:lang w:bidi="ar"/>
              </w:rPr>
            </w:pPr>
            <w:r>
              <w:rPr>
                <w:rFonts w:hint="eastAsia" w:ascii="仿宋" w:hAnsi="仿宋" w:eastAsia="仿宋" w:cs="宋体"/>
                <w:color w:val="000000"/>
                <w:kern w:val="0"/>
                <w:sz w:val="24"/>
                <w:szCs w:val="24"/>
                <w:highlight w:val="yellow"/>
                <w:lang w:val="en-US" w:eastAsia="zh-CN" w:bidi="ar"/>
              </w:rPr>
              <w:t>6</w:t>
            </w:r>
            <w:bookmarkStart w:id="0" w:name="_GoBack"/>
            <w:bookmarkEnd w:id="0"/>
            <w:r>
              <w:rPr>
                <w:rFonts w:hint="eastAsia" w:ascii="仿宋" w:hAnsi="仿宋" w:eastAsia="仿宋" w:cs="宋体"/>
                <w:color w:val="000000"/>
                <w:kern w:val="0"/>
                <w:sz w:val="24"/>
                <w:szCs w:val="24"/>
                <w:highlight w:val="yellow"/>
                <w:lang w:val="en-US" w:eastAsia="zh-CN" w:bidi="ar"/>
              </w:rPr>
              <w:t>. 工期硬性要求：2026 年 8 月25 日前完成整体竣工验收。</w:t>
            </w:r>
          </w:p>
        </w:tc>
        <w:tc>
          <w:tcPr>
            <w:tcW w:w="459" w:type="pct"/>
            <w:tcBorders>
              <w:top w:val="single" w:color="auto" w:sz="4" w:space="0"/>
              <w:left w:val="nil"/>
              <w:bottom w:val="single" w:color="auto" w:sz="4" w:space="0"/>
              <w:right w:val="single" w:color="auto" w:sz="4" w:space="0"/>
            </w:tcBorders>
            <w:vAlign w:val="center"/>
          </w:tcPr>
          <w:p w14:paraId="22DBB88E">
            <w:pPr>
              <w:widowControl/>
              <w:jc w:val="center"/>
              <w:textAlignment w:val="center"/>
              <w:rPr>
                <w:rFonts w:hint="default" w:ascii="仿宋" w:hAnsi="仿宋" w:eastAsia="仿宋" w:cs="宋体"/>
                <w:color w:val="000000"/>
                <w:kern w:val="0"/>
                <w:sz w:val="24"/>
                <w:lang w:val="en-US" w:eastAsia="zh-CN" w:bidi="ar"/>
              </w:rPr>
            </w:pPr>
            <w:r>
              <w:rPr>
                <w:rFonts w:hint="eastAsia" w:ascii="仿宋" w:hAnsi="仿宋" w:eastAsia="仿宋" w:cs="宋体"/>
                <w:color w:val="000000"/>
                <w:kern w:val="0"/>
                <w:sz w:val="24"/>
                <w:lang w:val="en-US" w:eastAsia="zh-CN" w:bidi="ar"/>
              </w:rPr>
              <w:t>项</w:t>
            </w:r>
          </w:p>
        </w:tc>
        <w:tc>
          <w:tcPr>
            <w:tcW w:w="539" w:type="pct"/>
            <w:tcBorders>
              <w:top w:val="single" w:color="auto" w:sz="4" w:space="0"/>
              <w:left w:val="nil"/>
              <w:bottom w:val="single" w:color="auto" w:sz="4" w:space="0"/>
              <w:right w:val="single" w:color="auto" w:sz="4" w:space="0"/>
            </w:tcBorders>
            <w:vAlign w:val="center"/>
          </w:tcPr>
          <w:p w14:paraId="7B7156C0">
            <w:pPr>
              <w:widowControl/>
              <w:jc w:val="center"/>
              <w:textAlignment w:val="center"/>
              <w:rPr>
                <w:rFonts w:hint="eastAsia"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bl>
    <w:tbl>
      <w:tblPr>
        <w:tblStyle w:val="5"/>
        <w:tblpPr w:leftFromText="180" w:rightFromText="180" w:vertAnchor="text" w:horzAnchor="page" w:tblpX="1425" w:tblpY="18"/>
        <w:tblOverlap w:val="never"/>
        <w:tblW w:w="92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79"/>
        <w:gridCol w:w="7821"/>
      </w:tblGrid>
      <w:tr w14:paraId="60B9A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74746B6B">
            <w:pPr>
              <w:tabs>
                <w:tab w:val="left" w:pos="1820"/>
              </w:tabs>
              <w:spacing w:line="360" w:lineRule="auto"/>
              <w:rPr>
                <w:rFonts w:hint="eastAsia" w:ascii="仿宋" w:hAnsi="仿宋" w:eastAsia="仿宋" w:cs="宋体"/>
                <w:kern w:val="0"/>
                <w:sz w:val="24"/>
              </w:rPr>
            </w:pPr>
            <w:r>
              <w:rPr>
                <w:rFonts w:hint="eastAsia" w:ascii="仿宋" w:hAnsi="仿宋" w:eastAsia="仿宋" w:cs="宋体"/>
                <w:kern w:val="0"/>
                <w:sz w:val="24"/>
              </w:rPr>
              <w:t>二、商务需求</w:t>
            </w:r>
            <w:r>
              <w:rPr>
                <w:rFonts w:hint="eastAsia" w:ascii="仿宋" w:hAnsi="仿宋" w:eastAsia="仿宋"/>
                <w:b/>
                <w:bCs/>
                <w:color w:val="000000"/>
                <w:sz w:val="24"/>
              </w:rPr>
              <w:t>（</w:t>
            </w:r>
            <w:r>
              <w:rPr>
                <w:rFonts w:hint="eastAsia" w:ascii="仿宋" w:hAnsi="仿宋" w:eastAsia="仿宋"/>
                <w:b/>
                <w:sz w:val="24"/>
              </w:rPr>
              <w:t>▲的实质性技术参数要求必须满足</w:t>
            </w:r>
            <w:r>
              <w:rPr>
                <w:rFonts w:hint="eastAsia" w:ascii="仿宋" w:hAnsi="仿宋" w:eastAsia="仿宋"/>
                <w:b/>
                <w:bCs/>
                <w:color w:val="000000"/>
                <w:sz w:val="24"/>
              </w:rPr>
              <w:t>）</w:t>
            </w:r>
          </w:p>
        </w:tc>
      </w:tr>
      <w:tr w14:paraId="3324F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0" w:type="auto"/>
            <w:tcBorders>
              <w:top w:val="single" w:color="auto" w:sz="4" w:space="0"/>
              <w:left w:val="single" w:color="auto" w:sz="4" w:space="0"/>
              <w:bottom w:val="single" w:color="auto" w:sz="4" w:space="0"/>
              <w:right w:val="single" w:color="auto" w:sz="4" w:space="0"/>
            </w:tcBorders>
            <w:vAlign w:val="center"/>
          </w:tcPr>
          <w:p w14:paraId="16484A70">
            <w:pPr>
              <w:autoSpaceDE w:val="0"/>
              <w:autoSpaceDN w:val="0"/>
              <w:adjustRightInd w:val="0"/>
              <w:spacing w:line="360" w:lineRule="auto"/>
              <w:jc w:val="left"/>
              <w:rPr>
                <w:rFonts w:hint="eastAsia" w:ascii="仿宋" w:hAnsi="仿宋" w:eastAsia="仿宋" w:cs="宋体"/>
                <w:kern w:val="0"/>
                <w:sz w:val="24"/>
              </w:rPr>
            </w:pPr>
            <w:r>
              <w:rPr>
                <w:rStyle w:val="7"/>
                <w:rFonts w:hint="eastAsia" w:ascii="仿宋" w:hAnsi="仿宋" w:eastAsia="仿宋"/>
                <w:bCs/>
                <w:color w:val="000000"/>
                <w:sz w:val="24"/>
              </w:rPr>
              <w:t>服务地点</w:t>
            </w:r>
          </w:p>
        </w:tc>
        <w:tc>
          <w:tcPr>
            <w:tcW w:w="7821" w:type="dxa"/>
            <w:tcBorders>
              <w:top w:val="single" w:color="auto" w:sz="4" w:space="0"/>
              <w:left w:val="single" w:color="auto" w:sz="4" w:space="0"/>
              <w:bottom w:val="single" w:color="auto" w:sz="4" w:space="0"/>
              <w:right w:val="single" w:color="auto" w:sz="4" w:space="0"/>
            </w:tcBorders>
            <w:vAlign w:val="center"/>
          </w:tcPr>
          <w:p w14:paraId="68BE9877">
            <w:pPr>
              <w:widowControl/>
              <w:tabs>
                <w:tab w:val="left" w:pos="6072"/>
              </w:tabs>
              <w:spacing w:line="360" w:lineRule="atLeast"/>
              <w:jc w:val="both"/>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广西南宁市五合大道13号</w:t>
            </w:r>
          </w:p>
        </w:tc>
      </w:tr>
      <w:tr w14:paraId="1393B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0" w:type="auto"/>
            <w:tcBorders>
              <w:top w:val="single" w:color="auto" w:sz="4" w:space="0"/>
              <w:left w:val="single" w:color="auto" w:sz="4" w:space="0"/>
              <w:bottom w:val="single" w:color="auto" w:sz="4" w:space="0"/>
              <w:right w:val="single" w:color="auto" w:sz="4" w:space="0"/>
            </w:tcBorders>
            <w:vAlign w:val="center"/>
          </w:tcPr>
          <w:p w14:paraId="4B3FFC17">
            <w:pPr>
              <w:autoSpaceDE w:val="0"/>
              <w:autoSpaceDN w:val="0"/>
              <w:adjustRightInd w:val="0"/>
              <w:spacing w:line="360" w:lineRule="auto"/>
              <w:jc w:val="left"/>
              <w:rPr>
                <w:rFonts w:hint="eastAsia" w:ascii="仿宋" w:hAnsi="仿宋" w:eastAsia="仿宋" w:cs="宋体"/>
                <w:sz w:val="24"/>
              </w:rPr>
            </w:pPr>
            <w:r>
              <w:rPr>
                <w:rStyle w:val="7"/>
                <w:rFonts w:hint="eastAsia" w:ascii="仿宋" w:hAnsi="仿宋" w:eastAsia="仿宋"/>
                <w:bCs/>
                <w:color w:val="000000"/>
                <w:sz w:val="24"/>
              </w:rPr>
              <w:t>质保期</w:t>
            </w:r>
          </w:p>
        </w:tc>
        <w:tc>
          <w:tcPr>
            <w:tcW w:w="7821" w:type="dxa"/>
            <w:tcBorders>
              <w:top w:val="single" w:color="auto" w:sz="4" w:space="0"/>
              <w:left w:val="single" w:color="auto" w:sz="4" w:space="0"/>
              <w:bottom w:val="single" w:color="auto" w:sz="4" w:space="0"/>
              <w:right w:val="single" w:color="auto" w:sz="4" w:space="0"/>
            </w:tcBorders>
            <w:vAlign w:val="center"/>
          </w:tcPr>
          <w:p w14:paraId="7003534D">
            <w:pPr>
              <w:widowControl/>
              <w:spacing w:line="360" w:lineRule="atLeast"/>
              <w:ind w:left="-360"/>
              <w:jc w:val="both"/>
              <w:rPr>
                <w:rFonts w:hint="eastAsia" w:ascii="仿宋" w:hAnsi="仿宋" w:eastAsia="仿宋" w:cs="宋体"/>
                <w:sz w:val="24"/>
              </w:rPr>
            </w:pPr>
            <w:r>
              <w:rPr>
                <w:rFonts w:hint="eastAsia" w:ascii="仿宋" w:hAnsi="仿宋" w:eastAsia="仿宋"/>
                <w:color w:val="000000"/>
                <w:sz w:val="24"/>
              </w:rPr>
              <w:t>≥自最终验收合格之日起计算≥2年</w:t>
            </w:r>
          </w:p>
        </w:tc>
      </w:tr>
      <w:tr w14:paraId="5E35A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0" w:type="auto"/>
            <w:tcBorders>
              <w:top w:val="single" w:color="auto" w:sz="4" w:space="0"/>
              <w:left w:val="single" w:color="auto" w:sz="4" w:space="0"/>
              <w:bottom w:val="single" w:color="auto" w:sz="4" w:space="0"/>
              <w:right w:val="single" w:color="auto" w:sz="4" w:space="0"/>
            </w:tcBorders>
            <w:vAlign w:val="center"/>
          </w:tcPr>
          <w:p w14:paraId="1DEADB3B">
            <w:pPr>
              <w:autoSpaceDE w:val="0"/>
              <w:autoSpaceDN w:val="0"/>
              <w:adjustRightInd w:val="0"/>
              <w:spacing w:line="360" w:lineRule="auto"/>
              <w:jc w:val="left"/>
              <w:rPr>
                <w:rFonts w:hint="eastAsia" w:ascii="仿宋" w:hAnsi="仿宋" w:eastAsia="仿宋" w:cs="宋体"/>
                <w:sz w:val="24"/>
              </w:rPr>
            </w:pPr>
            <w:r>
              <w:rPr>
                <w:rStyle w:val="7"/>
                <w:rFonts w:hint="eastAsia" w:ascii="仿宋" w:hAnsi="仿宋" w:eastAsia="仿宋"/>
                <w:bCs/>
                <w:color w:val="000000"/>
                <w:sz w:val="24"/>
              </w:rPr>
              <w:t>付款方式</w:t>
            </w:r>
          </w:p>
        </w:tc>
        <w:tc>
          <w:tcPr>
            <w:tcW w:w="7821" w:type="dxa"/>
            <w:tcBorders>
              <w:top w:val="single" w:color="auto" w:sz="4" w:space="0"/>
              <w:left w:val="single" w:color="auto" w:sz="4" w:space="0"/>
              <w:bottom w:val="single" w:color="auto" w:sz="4" w:space="0"/>
              <w:right w:val="single" w:color="auto" w:sz="4" w:space="0"/>
            </w:tcBorders>
            <w:vAlign w:val="center"/>
          </w:tcPr>
          <w:p w14:paraId="416D4296">
            <w:pPr>
              <w:widowControl/>
              <w:numPr>
                <w:ilvl w:val="0"/>
                <w:numId w:val="1"/>
              </w:numPr>
              <w:spacing w:line="360" w:lineRule="atLeast"/>
              <w:ind w:left="0"/>
              <w:jc w:val="both"/>
              <w:rPr>
                <w:rFonts w:hint="eastAsia" w:ascii="仿宋" w:hAnsi="仿宋" w:eastAsia="仿宋" w:cs="宋体"/>
                <w:sz w:val="24"/>
              </w:rPr>
            </w:pPr>
            <w:r>
              <w:rPr>
                <w:rFonts w:hint="eastAsia" w:ascii="仿宋" w:hAnsi="仿宋" w:eastAsia="仿宋"/>
                <w:color w:val="000000"/>
                <w:sz w:val="24"/>
              </w:rPr>
              <w:t>全部货物安装验收合格后 15 个工作日内，凭全额增值税普通发票一次性支付（财政封账、假期顺延）。</w:t>
            </w:r>
          </w:p>
        </w:tc>
      </w:tr>
      <w:tr w14:paraId="3D0F4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0" w:type="auto"/>
            <w:tcBorders>
              <w:top w:val="single" w:color="auto" w:sz="4" w:space="0"/>
              <w:left w:val="single" w:color="auto" w:sz="4" w:space="0"/>
              <w:bottom w:val="single" w:color="auto" w:sz="4" w:space="0"/>
              <w:right w:val="single" w:color="auto" w:sz="4" w:space="0"/>
            </w:tcBorders>
            <w:vAlign w:val="center"/>
          </w:tcPr>
          <w:p w14:paraId="444BFD54">
            <w:pPr>
              <w:autoSpaceDE w:val="0"/>
              <w:autoSpaceDN w:val="0"/>
              <w:adjustRightInd w:val="0"/>
              <w:spacing w:line="360" w:lineRule="auto"/>
              <w:jc w:val="left"/>
              <w:rPr>
                <w:rFonts w:hint="eastAsia" w:ascii="仿宋" w:hAnsi="仿宋" w:eastAsia="仿宋" w:cs="宋体"/>
                <w:kern w:val="0"/>
                <w:sz w:val="24"/>
              </w:rPr>
            </w:pPr>
            <w:r>
              <w:rPr>
                <w:rStyle w:val="7"/>
                <w:rFonts w:hint="eastAsia" w:ascii="仿宋" w:hAnsi="仿宋" w:eastAsia="仿宋"/>
                <w:bCs/>
                <w:color w:val="000000"/>
                <w:sz w:val="24"/>
              </w:rPr>
              <w:t>报价方式</w:t>
            </w:r>
          </w:p>
        </w:tc>
        <w:tc>
          <w:tcPr>
            <w:tcW w:w="7821" w:type="dxa"/>
            <w:tcBorders>
              <w:top w:val="single" w:color="auto" w:sz="4" w:space="0"/>
              <w:left w:val="single" w:color="auto" w:sz="4" w:space="0"/>
              <w:bottom w:val="single" w:color="auto" w:sz="4" w:space="0"/>
              <w:right w:val="single" w:color="auto" w:sz="4" w:space="0"/>
            </w:tcBorders>
            <w:vAlign w:val="center"/>
          </w:tcPr>
          <w:p w14:paraId="3A97095E">
            <w:pPr>
              <w:widowControl/>
              <w:numPr>
                <w:ilvl w:val="0"/>
                <w:numId w:val="1"/>
              </w:numPr>
              <w:spacing w:line="360" w:lineRule="atLeast"/>
              <w:ind w:left="0"/>
              <w:jc w:val="both"/>
              <w:rPr>
                <w:rFonts w:hint="eastAsia" w:ascii="仿宋" w:hAnsi="仿宋" w:eastAsia="仿宋" w:cs="宋体"/>
                <w:kern w:val="0"/>
                <w:sz w:val="24"/>
              </w:rPr>
            </w:pPr>
            <w:r>
              <w:rPr>
                <w:rFonts w:hint="eastAsia" w:ascii="仿宋" w:hAnsi="仿宋" w:eastAsia="仿宋"/>
                <w:color w:val="000000"/>
                <w:sz w:val="24"/>
              </w:rPr>
              <w:t>按上控价下浮百分比进行报价</w:t>
            </w:r>
            <w:r>
              <w:rPr>
                <w:rFonts w:hint="eastAsia" w:ascii="仿宋" w:hAnsi="仿宋" w:eastAsia="仿宋"/>
                <w:color w:val="000000"/>
                <w:sz w:val="24"/>
                <w:lang w:eastAsia="zh-CN"/>
              </w:rPr>
              <w:t>。</w:t>
            </w:r>
            <w:r>
              <w:rPr>
                <w:rFonts w:hint="eastAsia" w:ascii="仿宋" w:hAnsi="仿宋" w:eastAsia="仿宋"/>
                <w:color w:val="000000"/>
                <w:sz w:val="24"/>
              </w:rPr>
              <w:t>包含人工、材料、辅材、设备、运输、垃圾清运、安全防护、检测检验、税费、成品保护、售后服务、施工机具、场地清理等本项目全部费用。</w:t>
            </w:r>
          </w:p>
          <w:p w14:paraId="1E58CDE7">
            <w:pPr>
              <w:widowControl/>
              <w:numPr>
                <w:ilvl w:val="0"/>
                <w:numId w:val="1"/>
              </w:numPr>
              <w:spacing w:line="360" w:lineRule="atLeast"/>
              <w:ind w:left="0"/>
              <w:jc w:val="both"/>
              <w:rPr>
                <w:rFonts w:hint="eastAsia" w:ascii="仿宋" w:hAnsi="仿宋" w:eastAsia="仿宋" w:cs="宋体"/>
                <w:kern w:val="0"/>
                <w:sz w:val="24"/>
              </w:rPr>
            </w:pPr>
            <w:r>
              <w:rPr>
                <w:rFonts w:hint="eastAsia" w:ascii="仿宋" w:hAnsi="仿宋" w:eastAsia="仿宋" w:cs="宋体"/>
                <w:kern w:val="0"/>
                <w:sz w:val="24"/>
              </w:rPr>
              <w:t>最终报价低于采购项目</w:t>
            </w:r>
            <w:r>
              <w:rPr>
                <w:rFonts w:hint="eastAsia" w:ascii="仿宋" w:hAnsi="仿宋" w:eastAsia="仿宋" w:cs="宋体"/>
                <w:kern w:val="0"/>
                <w:sz w:val="24"/>
                <w:lang w:val="en-US" w:eastAsia="zh-CN"/>
              </w:rPr>
              <w:t>控制价的</w:t>
            </w:r>
            <w:r>
              <w:rPr>
                <w:rFonts w:hint="eastAsia" w:ascii="仿宋" w:hAnsi="仿宋" w:eastAsia="仿宋" w:cs="宋体"/>
                <w:kern w:val="0"/>
                <w:sz w:val="24"/>
              </w:rPr>
              <w:t>65%的（即最终报价＜</w:t>
            </w:r>
            <w:r>
              <w:rPr>
                <w:rFonts w:hint="eastAsia" w:ascii="仿宋" w:hAnsi="仿宋" w:eastAsia="仿宋" w:cs="宋体"/>
                <w:kern w:val="0"/>
                <w:sz w:val="24"/>
                <w:lang w:val="en-US" w:eastAsia="zh-CN"/>
              </w:rPr>
              <w:t>项目控制价</w:t>
            </w:r>
            <w:r>
              <w:rPr>
                <w:rFonts w:hint="eastAsia" w:ascii="仿宋" w:hAnsi="仿宋" w:eastAsia="仿宋" w:cs="宋体"/>
                <w:kern w:val="0"/>
                <w:sz w:val="24"/>
              </w:rPr>
              <w:t>×65%），视作异常低价响应，作无效响应处理。</w:t>
            </w:r>
          </w:p>
        </w:tc>
      </w:tr>
      <w:tr w14:paraId="2EB39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0" w:type="auto"/>
            <w:tcBorders>
              <w:top w:val="single" w:color="auto" w:sz="4" w:space="0"/>
              <w:left w:val="single" w:color="auto" w:sz="4" w:space="0"/>
              <w:bottom w:val="single" w:color="auto" w:sz="4" w:space="0"/>
              <w:right w:val="single" w:color="auto" w:sz="4" w:space="0"/>
            </w:tcBorders>
            <w:vAlign w:val="center"/>
          </w:tcPr>
          <w:p w14:paraId="317A278F">
            <w:pPr>
              <w:autoSpaceDE w:val="0"/>
              <w:autoSpaceDN w:val="0"/>
              <w:adjustRightInd w:val="0"/>
              <w:spacing w:line="360" w:lineRule="auto"/>
              <w:jc w:val="left"/>
              <w:rPr>
                <w:rStyle w:val="7"/>
                <w:rFonts w:hint="eastAsia" w:ascii="仿宋" w:hAnsi="仿宋" w:eastAsia="仿宋"/>
                <w:bCs/>
                <w:color w:val="000000"/>
                <w:sz w:val="24"/>
              </w:rPr>
            </w:pPr>
            <w:r>
              <w:rPr>
                <w:rStyle w:val="7"/>
                <w:rFonts w:hint="eastAsia" w:ascii="仿宋" w:hAnsi="仿宋" w:eastAsia="仿宋" w:cs="Times New Roman"/>
                <w:bCs/>
                <w:color w:val="000000"/>
                <w:sz w:val="24"/>
              </w:rPr>
              <w:t>供应商资质人员硬性要求（实质性）</w:t>
            </w:r>
          </w:p>
        </w:tc>
        <w:tc>
          <w:tcPr>
            <w:tcW w:w="7821" w:type="dxa"/>
            <w:tcBorders>
              <w:top w:val="single" w:color="auto" w:sz="4" w:space="0"/>
              <w:left w:val="single" w:color="auto" w:sz="4" w:space="0"/>
              <w:bottom w:val="single" w:color="auto" w:sz="4" w:space="0"/>
              <w:right w:val="single" w:color="auto" w:sz="4" w:space="0"/>
            </w:tcBorders>
            <w:vAlign w:val="center"/>
          </w:tcPr>
          <w:p w14:paraId="763B1375">
            <w:pPr>
              <w:widowControl/>
              <w:numPr>
                <w:ilvl w:val="0"/>
                <w:numId w:val="1"/>
              </w:numPr>
              <w:spacing w:line="360" w:lineRule="atLeast"/>
              <w:ind w:left="0"/>
              <w:jc w:val="both"/>
              <w:rPr>
                <w:rFonts w:hint="eastAsia" w:ascii="仿宋" w:hAnsi="仿宋" w:eastAsia="仿宋"/>
                <w:color w:val="000000"/>
                <w:sz w:val="24"/>
              </w:rPr>
            </w:pPr>
            <w:r>
              <w:rPr>
                <w:rFonts w:hint="eastAsia" w:ascii="仿宋" w:hAnsi="仿宋" w:eastAsia="仿宋"/>
                <w:color w:val="000000"/>
                <w:sz w:val="24"/>
              </w:rPr>
              <w:t>1.企业资质：供应商须具备建设行政主管部门核发有效的建筑工程施工总承包二级（含）以上资质，持有有效安全生产许可证；供应商须在项目所在地设有常驻机构。2.项目经理：拟派项目经理具备建筑工程专业一级及以上注册建造师证、有效B类安全生产考核合格证；不得存在在建、中标未开工、其他项目第一中标候选人情形（符合广西相关住建文件除外）。3.</w:t>
            </w:r>
            <w:r>
              <w:rPr>
                <w:rFonts w:hint="eastAsia" w:ascii="仿宋" w:hAnsi="仿宋" w:eastAsia="仿宋"/>
                <w:color w:val="000000"/>
                <w:sz w:val="24"/>
                <w:lang w:val="en-US" w:eastAsia="zh-CN"/>
              </w:rPr>
              <w:t>人员要求：</w:t>
            </w:r>
            <w:r>
              <w:rPr>
                <w:rFonts w:hint="eastAsia" w:ascii="仿宋" w:hAnsi="仿宋" w:eastAsia="仿宋"/>
                <w:color w:val="000000"/>
                <w:sz w:val="24"/>
              </w:rPr>
              <w:t>拟投入本项目的项目经理1名，</w:t>
            </w:r>
            <w:r>
              <w:rPr>
                <w:rFonts w:hint="eastAsia" w:ascii="仿宋" w:hAnsi="仿宋" w:eastAsia="仿宋"/>
                <w:color w:val="000000"/>
                <w:sz w:val="24"/>
                <w:lang w:val="en-US" w:eastAsia="zh-CN"/>
              </w:rPr>
              <w:t>技术负责人1名，</w:t>
            </w:r>
            <w:r>
              <w:rPr>
                <w:rFonts w:hint="eastAsia" w:ascii="仿宋" w:hAnsi="仿宋" w:eastAsia="仿宋"/>
                <w:color w:val="000000"/>
                <w:sz w:val="24"/>
              </w:rPr>
              <w:t>施工员1名，材料员1名，质量员1名</w:t>
            </w:r>
            <w:r>
              <w:rPr>
                <w:rFonts w:hint="eastAsia" w:ascii="仿宋" w:hAnsi="仿宋" w:eastAsia="仿宋"/>
                <w:color w:val="000000"/>
                <w:sz w:val="24"/>
                <w:lang w:eastAsia="zh-CN"/>
              </w:rPr>
              <w:t>（</w:t>
            </w:r>
            <w:r>
              <w:rPr>
                <w:rFonts w:hint="eastAsia" w:ascii="仿宋" w:hAnsi="仿宋" w:eastAsia="仿宋"/>
                <w:color w:val="000000"/>
                <w:sz w:val="24"/>
                <w:lang w:val="en-US" w:eastAsia="zh-CN"/>
              </w:rPr>
              <w:t>其中</w:t>
            </w:r>
            <w:r>
              <w:rPr>
                <w:rFonts w:hint="eastAsia" w:ascii="仿宋" w:hAnsi="仿宋" w:eastAsia="仿宋"/>
                <w:color w:val="000000"/>
                <w:sz w:val="24"/>
              </w:rPr>
              <w:t>施工员1名，材料员1名，质量员具有相应施工现场专业人员职业培训合格证书</w:t>
            </w:r>
            <w:r>
              <w:rPr>
                <w:rFonts w:hint="eastAsia" w:ascii="仿宋" w:hAnsi="仿宋" w:eastAsia="仿宋"/>
                <w:color w:val="000000"/>
                <w:sz w:val="24"/>
                <w:lang w:eastAsia="zh-CN"/>
              </w:rPr>
              <w:t>，</w:t>
            </w:r>
            <w:r>
              <w:rPr>
                <w:rFonts w:hint="eastAsia" w:ascii="仿宋" w:hAnsi="仿宋" w:eastAsia="仿宋"/>
                <w:color w:val="000000"/>
                <w:sz w:val="24"/>
                <w:lang w:val="en-US" w:eastAsia="zh-CN"/>
              </w:rPr>
              <w:t>响应文件必须提供证书复印件或扫描件</w:t>
            </w:r>
            <w:r>
              <w:rPr>
                <w:rFonts w:hint="eastAsia" w:ascii="仿宋" w:hAnsi="仿宋" w:eastAsia="仿宋"/>
                <w:color w:val="000000"/>
                <w:sz w:val="24"/>
                <w:lang w:eastAsia="zh-CN"/>
              </w:rPr>
              <w:t>），</w:t>
            </w:r>
            <w:r>
              <w:rPr>
                <w:rFonts w:hint="eastAsia" w:ascii="仿宋" w:hAnsi="仿宋" w:eastAsia="仿宋"/>
                <w:color w:val="000000"/>
                <w:sz w:val="24"/>
                <w:lang w:val="en-US" w:eastAsia="zh-CN"/>
              </w:rPr>
              <w:t>安全员2人</w:t>
            </w:r>
            <w:r>
              <w:rPr>
                <w:rFonts w:hint="eastAsia" w:ascii="仿宋" w:hAnsi="仿宋" w:eastAsia="仿宋"/>
                <w:color w:val="000000"/>
                <w:sz w:val="24"/>
              </w:rPr>
              <w:t>。</w:t>
            </w:r>
          </w:p>
        </w:tc>
      </w:tr>
      <w:tr w14:paraId="449A6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auto" w:sz="4" w:space="0"/>
              <w:left w:val="single" w:color="auto" w:sz="4" w:space="0"/>
              <w:bottom w:val="single" w:color="auto" w:sz="4" w:space="0"/>
              <w:right w:val="single" w:color="auto" w:sz="4" w:space="0"/>
            </w:tcBorders>
            <w:vAlign w:val="center"/>
          </w:tcPr>
          <w:p w14:paraId="1070F5B1">
            <w:pPr>
              <w:pStyle w:val="3"/>
              <w:widowControl/>
              <w:spacing w:beforeAutospacing="0" w:afterAutospacing="0" w:line="360" w:lineRule="atLeast"/>
              <w:rPr>
                <w:rFonts w:ascii="仿宋" w:hAnsi="仿宋" w:eastAsia="仿宋"/>
                <w:color w:val="000000"/>
                <w:sz w:val="24"/>
                <w:szCs w:val="24"/>
              </w:rPr>
            </w:pPr>
            <w:r>
              <w:rPr>
                <w:rFonts w:ascii="仿宋" w:hAnsi="仿宋" w:eastAsia="仿宋"/>
                <w:color w:val="000000"/>
                <w:sz w:val="24"/>
                <w:szCs w:val="24"/>
              </w:rPr>
              <w:t>售后服务要求</w:t>
            </w:r>
          </w:p>
          <w:p w14:paraId="51971FE4">
            <w:pPr>
              <w:autoSpaceDE w:val="0"/>
              <w:autoSpaceDN w:val="0"/>
              <w:adjustRightInd w:val="0"/>
              <w:spacing w:line="360" w:lineRule="auto"/>
              <w:jc w:val="left"/>
              <w:rPr>
                <w:rFonts w:hint="eastAsia" w:ascii="仿宋" w:hAnsi="仿宋" w:eastAsia="仿宋" w:cs="宋体"/>
                <w:kern w:val="0"/>
                <w:sz w:val="24"/>
              </w:rPr>
            </w:pPr>
          </w:p>
        </w:tc>
        <w:tc>
          <w:tcPr>
            <w:tcW w:w="7821" w:type="dxa"/>
            <w:tcBorders>
              <w:top w:val="single" w:color="auto" w:sz="4" w:space="0"/>
              <w:left w:val="single" w:color="auto" w:sz="4" w:space="0"/>
              <w:bottom w:val="single" w:color="auto" w:sz="4" w:space="0"/>
              <w:right w:val="single" w:color="auto" w:sz="4" w:space="0"/>
            </w:tcBorders>
            <w:vAlign w:val="center"/>
          </w:tcPr>
          <w:p w14:paraId="6F8904E6">
            <w:pPr>
              <w:widowControl/>
              <w:spacing w:line="360" w:lineRule="atLeast"/>
              <w:ind w:left="-360"/>
              <w:jc w:val="both"/>
              <w:rPr>
                <w:rFonts w:hint="eastAsia" w:ascii="仿宋" w:hAnsi="仿宋" w:eastAsia="仿宋"/>
                <w:color w:val="000000"/>
                <w:sz w:val="24"/>
              </w:rPr>
            </w:pPr>
            <w:r>
              <w:rPr>
                <w:rFonts w:hint="eastAsia" w:ascii="仿宋" w:hAnsi="仿宋" w:eastAsia="仿宋"/>
                <w:color w:val="000000"/>
                <w:sz w:val="24"/>
              </w:rPr>
              <w:t>1、1.故障响应：接到通知</w:t>
            </w:r>
            <w:r>
              <w:rPr>
                <w:rStyle w:val="7"/>
                <w:rFonts w:hint="eastAsia" w:ascii="仿宋" w:hAnsi="仿宋" w:eastAsia="仿宋"/>
                <w:bCs/>
                <w:color w:val="000000"/>
                <w:sz w:val="24"/>
              </w:rPr>
              <w:t>24小时内</w:t>
            </w:r>
            <w:r>
              <w:rPr>
                <w:rFonts w:hint="eastAsia" w:ascii="仿宋" w:hAnsi="仿宋" w:eastAsia="仿宋"/>
                <w:color w:val="000000"/>
                <w:sz w:val="24"/>
              </w:rPr>
              <w:t>到场，24小时内维修完毕。</w:t>
            </w:r>
          </w:p>
          <w:p w14:paraId="5FCB91D6">
            <w:pPr>
              <w:widowControl/>
              <w:numPr>
                <w:ilvl w:val="0"/>
                <w:numId w:val="1"/>
              </w:numPr>
              <w:spacing w:line="360" w:lineRule="atLeast"/>
              <w:ind w:left="0"/>
              <w:jc w:val="both"/>
              <w:rPr>
                <w:rFonts w:hint="eastAsia" w:ascii="仿宋" w:hAnsi="仿宋" w:eastAsia="仿宋"/>
                <w:color w:val="000000"/>
                <w:sz w:val="24"/>
              </w:rPr>
            </w:pPr>
            <w:r>
              <w:rPr>
                <w:rFonts w:hint="eastAsia" w:ascii="仿宋" w:hAnsi="仿宋" w:eastAsia="仿宋"/>
                <w:color w:val="000000"/>
                <w:sz w:val="24"/>
              </w:rPr>
              <w:t>2.紧急抢修：24小时内到场并排除故障。</w:t>
            </w:r>
          </w:p>
          <w:p w14:paraId="4898C791">
            <w:pPr>
              <w:widowControl/>
              <w:spacing w:line="360" w:lineRule="atLeast"/>
              <w:ind w:left="-360"/>
              <w:jc w:val="both"/>
              <w:rPr>
                <w:rFonts w:hint="eastAsia" w:ascii="仿宋" w:hAnsi="仿宋" w:eastAsia="仿宋"/>
                <w:color w:val="000000"/>
                <w:sz w:val="24"/>
              </w:rPr>
            </w:pPr>
            <w:r>
              <w:rPr>
                <w:rFonts w:hint="eastAsia" w:ascii="仿宋" w:hAnsi="仿宋" w:eastAsia="仿宋"/>
                <w:color w:val="000000"/>
                <w:sz w:val="24"/>
              </w:rPr>
              <w:t>3.</w:t>
            </w:r>
            <w:r>
              <w:rPr>
                <w:rFonts w:hint="eastAsia" w:ascii="仿宋" w:hAnsi="仿宋" w:eastAsia="仿宋"/>
                <w:color w:val="000000"/>
                <w:sz w:val="24"/>
                <w:lang w:val="en-US" w:eastAsia="zh-CN"/>
              </w:rPr>
              <w:t xml:space="preserve"> </w:t>
            </w:r>
            <w:r>
              <w:rPr>
                <w:rFonts w:hint="eastAsia" w:ascii="仿宋" w:hAnsi="仿宋" w:eastAsia="仿宋"/>
                <w:color w:val="000000"/>
                <w:sz w:val="24"/>
              </w:rPr>
              <w:t>3.维修保障：接到报修通知之日起48小时内赶赴现场进行维修，24 小时内排除故障；发生紧急抢修事故的，应在接到事故通知后 2 小时内到达事故现场抢修。</w:t>
            </w:r>
          </w:p>
          <w:p w14:paraId="2822DE51">
            <w:pPr>
              <w:jc w:val="both"/>
              <w:rPr>
                <w:rFonts w:hint="eastAsia" w:ascii="仿宋" w:hAnsi="仿宋" w:eastAsia="仿宋" w:cs="宋体"/>
                <w:kern w:val="0"/>
                <w:sz w:val="24"/>
              </w:rPr>
            </w:pPr>
            <w:r>
              <w:rPr>
                <w:rFonts w:hint="eastAsia" w:ascii="仿宋" w:hAnsi="仿宋" w:eastAsia="仿宋"/>
                <w:color w:val="000000"/>
                <w:sz w:val="24"/>
              </w:rPr>
              <w:t>4.质保期内：免费上门、免费维修、免费更换非人为损坏配件。</w:t>
            </w:r>
          </w:p>
        </w:tc>
      </w:tr>
      <w:tr w14:paraId="72B0E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auto" w:sz="4" w:space="0"/>
              <w:left w:val="single" w:color="auto" w:sz="4" w:space="0"/>
              <w:bottom w:val="single" w:color="auto" w:sz="4" w:space="0"/>
              <w:right w:val="single" w:color="auto" w:sz="4" w:space="0"/>
            </w:tcBorders>
            <w:vAlign w:val="center"/>
          </w:tcPr>
          <w:p w14:paraId="07EAC37A">
            <w:pPr>
              <w:pStyle w:val="3"/>
              <w:widowControl/>
              <w:spacing w:beforeAutospacing="0" w:afterAutospacing="0" w:line="360" w:lineRule="atLeast"/>
              <w:rPr>
                <w:rFonts w:ascii="仿宋" w:hAnsi="仿宋" w:eastAsia="仿宋"/>
                <w:color w:val="000000"/>
                <w:sz w:val="24"/>
                <w:szCs w:val="24"/>
              </w:rPr>
            </w:pPr>
            <w:r>
              <w:rPr>
                <w:rFonts w:ascii="仿宋" w:hAnsi="仿宋" w:eastAsia="仿宋"/>
                <w:color w:val="000000"/>
                <w:sz w:val="24"/>
                <w:szCs w:val="24"/>
              </w:rPr>
              <w:t>验收要求</w:t>
            </w:r>
          </w:p>
          <w:p w14:paraId="34E100A7">
            <w:pPr>
              <w:autoSpaceDE w:val="0"/>
              <w:autoSpaceDN w:val="0"/>
              <w:adjustRightInd w:val="0"/>
              <w:spacing w:line="360" w:lineRule="auto"/>
              <w:jc w:val="left"/>
              <w:rPr>
                <w:rFonts w:hint="eastAsia" w:ascii="仿宋" w:hAnsi="仿宋" w:eastAsia="仿宋" w:cs="宋体"/>
                <w:kern w:val="0"/>
                <w:sz w:val="24"/>
              </w:rPr>
            </w:pPr>
          </w:p>
        </w:tc>
        <w:tc>
          <w:tcPr>
            <w:tcW w:w="7821" w:type="dxa"/>
            <w:tcBorders>
              <w:top w:val="single" w:color="auto" w:sz="4" w:space="0"/>
              <w:left w:val="single" w:color="auto" w:sz="4" w:space="0"/>
              <w:bottom w:val="single" w:color="auto" w:sz="4" w:space="0"/>
              <w:right w:val="single" w:color="auto" w:sz="4" w:space="0"/>
            </w:tcBorders>
            <w:vAlign w:val="center"/>
          </w:tcPr>
          <w:p w14:paraId="6318A13F">
            <w:pPr>
              <w:widowControl/>
              <w:spacing w:line="360" w:lineRule="atLeast"/>
              <w:ind w:left="-360"/>
              <w:jc w:val="both"/>
              <w:rPr>
                <w:rFonts w:hint="eastAsia" w:ascii="仿宋" w:hAnsi="仿宋" w:eastAsia="仿宋" w:cs="宋体"/>
                <w:kern w:val="0"/>
                <w:sz w:val="24"/>
              </w:rPr>
            </w:pPr>
            <w:r>
              <w:rPr>
                <w:rFonts w:hint="eastAsia" w:ascii="仿宋" w:hAnsi="仿宋" w:eastAsia="仿宋"/>
                <w:color w:val="000000"/>
                <w:sz w:val="24"/>
              </w:rPr>
              <w:t>1.进场材料验收：所有</w:t>
            </w:r>
            <w:r>
              <w:rPr>
                <w:rFonts w:hint="eastAsia" w:ascii="仿宋" w:hAnsi="仿宋" w:eastAsia="仿宋"/>
                <w:color w:val="000000"/>
                <w:sz w:val="24"/>
                <w:lang w:val="en-US" w:eastAsia="zh-CN"/>
              </w:rPr>
              <w:t>材料</w:t>
            </w:r>
            <w:r>
              <w:rPr>
                <w:rFonts w:hint="eastAsia" w:ascii="仿宋" w:hAnsi="仿宋" w:eastAsia="仿宋"/>
                <w:color w:val="000000"/>
                <w:sz w:val="24"/>
              </w:rPr>
              <w:t>进场后，</w:t>
            </w:r>
            <w:r>
              <w:rPr>
                <w:rFonts w:hint="eastAsia" w:ascii="仿宋" w:hAnsi="仿宋" w:eastAsia="仿宋"/>
                <w:color w:val="000000"/>
                <w:sz w:val="24"/>
                <w:lang w:val="en-US" w:eastAsia="zh-CN"/>
              </w:rPr>
              <w:t>监理</w:t>
            </w:r>
            <w:r>
              <w:rPr>
                <w:rFonts w:hint="eastAsia" w:ascii="仿宋" w:hAnsi="仿宋" w:eastAsia="仿宋"/>
                <w:color w:val="000000"/>
                <w:sz w:val="24"/>
              </w:rPr>
              <w:t>核对品牌、规格、质量、数量，不符合要求2日内更换补齐。2.施工过程管控：供应商全权负责现场施工、安全管理、成品保护、人员培训，承担全部施工现场安全责任。3.最终竣工验</w:t>
            </w:r>
            <w:r>
              <w:rPr>
                <w:rFonts w:hint="eastAsia" w:ascii="仿宋" w:hAnsi="仿宋" w:eastAsia="仿宋"/>
                <w:color w:val="000000"/>
                <w:sz w:val="24"/>
                <w:lang w:val="en-US" w:eastAsia="zh-CN"/>
              </w:rPr>
              <w:t>收</w:t>
            </w:r>
            <w:r>
              <w:rPr>
                <w:rFonts w:hint="eastAsia" w:ascii="仿宋" w:hAnsi="仿宋" w:eastAsia="仿宋"/>
                <w:color w:val="000000"/>
                <w:sz w:val="24"/>
              </w:rPr>
              <w:t>收：</w:t>
            </w:r>
            <w:r>
              <w:rPr>
                <w:rFonts w:hint="eastAsia" w:ascii="仿宋" w:hAnsi="仿宋" w:eastAsia="仿宋"/>
                <w:color w:val="000000"/>
                <w:sz w:val="24"/>
                <w:highlight w:val="yellow"/>
              </w:rPr>
              <w:t>2026年8月</w:t>
            </w:r>
            <w:r>
              <w:rPr>
                <w:rFonts w:hint="eastAsia" w:ascii="仿宋" w:hAnsi="仿宋" w:eastAsia="仿宋"/>
                <w:color w:val="000000"/>
                <w:sz w:val="24"/>
                <w:highlight w:val="yellow"/>
                <w:lang w:val="en-US" w:eastAsia="zh-CN"/>
              </w:rPr>
              <w:t>25</w:t>
            </w:r>
            <w:r>
              <w:rPr>
                <w:rFonts w:hint="eastAsia" w:ascii="仿宋" w:hAnsi="仿宋" w:eastAsia="仿宋"/>
                <w:color w:val="000000"/>
                <w:sz w:val="24"/>
                <w:highlight w:val="yellow"/>
              </w:rPr>
              <w:t>日</w:t>
            </w:r>
            <w:r>
              <w:rPr>
                <w:rFonts w:hint="eastAsia" w:ascii="仿宋" w:hAnsi="仿宋" w:eastAsia="仿宋"/>
                <w:color w:val="000000"/>
                <w:sz w:val="24"/>
              </w:rPr>
              <w:t>前完成全部施工，双方共同到场验收；工程质量不合格的，供应商2日内完成全面整改并组织二次验收。4.风险划分：工程损毁、破损风险自最终验收合格之日起由采购人承担。</w:t>
            </w:r>
          </w:p>
        </w:tc>
      </w:tr>
      <w:tr w14:paraId="37687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auto" w:sz="4" w:space="0"/>
              <w:left w:val="single" w:color="auto" w:sz="4" w:space="0"/>
              <w:bottom w:val="single" w:color="auto" w:sz="4" w:space="0"/>
              <w:right w:val="single" w:color="auto" w:sz="4" w:space="0"/>
            </w:tcBorders>
            <w:vAlign w:val="center"/>
          </w:tcPr>
          <w:p w14:paraId="28F5D2B3">
            <w:pPr>
              <w:pStyle w:val="3"/>
              <w:widowControl/>
              <w:spacing w:beforeAutospacing="0" w:afterAutospacing="0" w:line="360" w:lineRule="atLeast"/>
              <w:rPr>
                <w:rFonts w:ascii="仿宋" w:hAnsi="仿宋" w:eastAsia="仿宋"/>
                <w:color w:val="000000"/>
                <w:sz w:val="24"/>
                <w:szCs w:val="24"/>
              </w:rPr>
            </w:pPr>
            <w:r>
              <w:rPr>
                <w:rFonts w:ascii="仿宋" w:hAnsi="仿宋" w:eastAsia="仿宋"/>
                <w:color w:val="000000"/>
                <w:sz w:val="24"/>
                <w:szCs w:val="24"/>
              </w:rPr>
              <w:t>违约责任</w:t>
            </w:r>
          </w:p>
          <w:p w14:paraId="56619732">
            <w:pPr>
              <w:autoSpaceDE w:val="0"/>
              <w:autoSpaceDN w:val="0"/>
              <w:adjustRightInd w:val="0"/>
              <w:spacing w:line="360" w:lineRule="auto"/>
              <w:jc w:val="left"/>
              <w:rPr>
                <w:rFonts w:hint="eastAsia" w:ascii="仿宋" w:hAnsi="仿宋" w:eastAsia="仿宋" w:cs="宋体"/>
                <w:kern w:val="0"/>
                <w:sz w:val="24"/>
              </w:rPr>
            </w:pPr>
          </w:p>
        </w:tc>
        <w:tc>
          <w:tcPr>
            <w:tcW w:w="7821" w:type="dxa"/>
            <w:tcBorders>
              <w:top w:val="single" w:color="auto" w:sz="4" w:space="0"/>
              <w:left w:val="single" w:color="auto" w:sz="4" w:space="0"/>
              <w:bottom w:val="single" w:color="auto" w:sz="4" w:space="0"/>
              <w:right w:val="single" w:color="auto" w:sz="4" w:space="0"/>
            </w:tcBorders>
            <w:vAlign w:val="center"/>
          </w:tcPr>
          <w:p w14:paraId="6D2974F3">
            <w:pPr>
              <w:widowControl/>
              <w:spacing w:line="360" w:lineRule="atLeast"/>
              <w:ind w:left="-360"/>
              <w:jc w:val="both"/>
              <w:rPr>
                <w:rFonts w:hint="eastAsia" w:ascii="仿宋" w:hAnsi="仿宋" w:eastAsia="仿宋" w:cs="宋体"/>
                <w:kern w:val="0"/>
                <w:sz w:val="24"/>
              </w:rPr>
            </w:pPr>
            <w:r>
              <w:rPr>
                <w:rFonts w:hint="eastAsia" w:ascii="仿宋" w:hAnsi="仿宋" w:eastAsia="仿宋"/>
                <w:color w:val="000000"/>
                <w:sz w:val="24"/>
              </w:rPr>
              <w:t>1.逾期竣工：未在</w:t>
            </w:r>
            <w:r>
              <w:rPr>
                <w:rFonts w:hint="eastAsia" w:ascii="仿宋" w:hAnsi="仿宋" w:eastAsia="仿宋"/>
                <w:color w:val="000000"/>
                <w:sz w:val="24"/>
                <w:highlight w:val="yellow"/>
              </w:rPr>
              <w:t>2026年8月</w:t>
            </w:r>
            <w:r>
              <w:rPr>
                <w:rFonts w:hint="eastAsia" w:ascii="仿宋" w:hAnsi="仿宋" w:eastAsia="仿宋"/>
                <w:color w:val="000000"/>
                <w:sz w:val="24"/>
                <w:highlight w:val="yellow"/>
                <w:lang w:val="en-US" w:eastAsia="zh-CN"/>
              </w:rPr>
              <w:t>25</w:t>
            </w:r>
            <w:r>
              <w:rPr>
                <w:rFonts w:hint="eastAsia" w:ascii="仿宋" w:hAnsi="仿宋" w:eastAsia="仿宋"/>
                <w:color w:val="000000"/>
                <w:sz w:val="24"/>
                <w:highlight w:val="yellow"/>
              </w:rPr>
              <w:t>日</w:t>
            </w:r>
            <w:r>
              <w:rPr>
                <w:rFonts w:hint="eastAsia" w:ascii="仿宋" w:hAnsi="仿宋" w:eastAsia="仿宋"/>
                <w:color w:val="000000"/>
                <w:sz w:val="24"/>
              </w:rPr>
              <w:t>前完成竣工验收，每日按合同总额1%支付违约金；逾期超7日，采购人有权单方解除合同，供应商支付合同总额20%违约金。2.施工质量、资质人员不达标：工程施工工艺、材料、人员资质不符合采购需求，采购人有权要求返工、拒收、降价；供应商拒绝整改的，采购人可解除合同，供应商支付合同总额20%违约金。3.未履行质保维修义务：每逾期一次维修整改，支付合同总额3‰违约金；采购人可委托第三方进场维修，产生全部费用由供应商承担。4.通用条款：任意一方违约，违约方需全额赔偿守约方因此产生的全部经济损失。</w:t>
            </w:r>
          </w:p>
        </w:tc>
      </w:tr>
    </w:tbl>
    <w:p w14:paraId="09DA7FE3">
      <w:pPr>
        <w:tabs>
          <w:tab w:val="left" w:pos="180"/>
          <w:tab w:val="left" w:pos="1620"/>
        </w:tabs>
        <w:spacing w:line="500" w:lineRule="exact"/>
        <w:jc w:val="left"/>
        <w:rPr>
          <w:rFonts w:hint="eastAsia" w:ascii="仿宋" w:hAnsi="仿宋" w:eastAsia="仿宋" w:cs="Times New Roman"/>
          <w:b/>
          <w:sz w:val="32"/>
          <w:szCs w:val="32"/>
        </w:rPr>
      </w:pPr>
    </w:p>
    <w:p w14:paraId="27FA3F30">
      <w:pPr>
        <w:tabs>
          <w:tab w:val="left" w:pos="180"/>
          <w:tab w:val="left" w:pos="1620"/>
        </w:tabs>
        <w:spacing w:line="500" w:lineRule="exact"/>
        <w:jc w:val="left"/>
        <w:rPr>
          <w:rFonts w:hint="eastAsia" w:ascii="仿宋" w:hAnsi="仿宋" w:eastAsia="仿宋" w:cs="Times New Roman"/>
          <w:b/>
          <w:sz w:val="32"/>
          <w:szCs w:val="32"/>
        </w:rPr>
      </w:pPr>
    </w:p>
    <w:p w14:paraId="3CD55BF1">
      <w:pPr>
        <w:tabs>
          <w:tab w:val="left" w:pos="180"/>
          <w:tab w:val="left" w:pos="1620"/>
        </w:tabs>
        <w:spacing w:line="500" w:lineRule="exact"/>
        <w:jc w:val="left"/>
        <w:rPr>
          <w:rFonts w:hint="eastAsia" w:ascii="仿宋" w:hAnsi="仿宋" w:eastAsia="仿宋" w:cs="Times New Roman"/>
          <w:b/>
          <w:sz w:val="32"/>
          <w:szCs w:val="32"/>
        </w:rPr>
      </w:pPr>
    </w:p>
    <w:p w14:paraId="09BB05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BAF8C"/>
    <w:multiLevelType w:val="multilevel"/>
    <w:tmpl w:val="B31BA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063AA"/>
    <w:rsid w:val="3C682428"/>
    <w:rsid w:val="44006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character" w:styleId="7">
    <w:name w:val="Strong"/>
    <w:basedOn w:val="6"/>
    <w:qFormat/>
    <w:uiPriority w:val="0"/>
    <w:rPr>
      <w:b/>
    </w:rPr>
  </w:style>
  <w:style w:type="paragraph" w:styleId="8">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2026-08-04T14:52:00Z</dcterms:created>
  <dc:creator>Lenovo</dc:creator>
  <cp:lastModifiedBy>Lenovo</cp:lastModifiedBy>
  <dcterms:modified xsi:type="dcterms:W3CDTF">2026-08-04T15:02:24Z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BB8088B076DC43F68DF18647E63E79C5_11</vt:lpwstr>
  </property>
  <property fmtid="{D5CDD505-2E9C-101B-9397-08002B2CF9AE}" pid="4" name="KSOTemplateDocerSaveRecord">
    <vt:lpwstr>eyJoZGlkIjoiZTcwMzgxNWZjMjZkNWM0ZDI0ZDMzNWIyNmJjNjM3Y2YiLCJ1c2VySWQiOiI0ODkyMzA2NTYifQ==</vt:lpwstr>
  </property>
</Properties>
</file>