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1EC8">
      <w:pPr>
        <w:pStyle w:val="2"/>
        <w:widowControl/>
        <w:spacing w:beforeAutospacing="0" w:afterAutospacing="0" w:line="360" w:lineRule="atLeast"/>
        <w:rPr>
          <w:rFonts w:cs="仿宋_GB2312" w:asciiTheme="minorEastAsia" w:hAnsiTheme="minorEastAsia" w:eastAsiaTheme="minorEastAsia"/>
          <w:color w:val="000000"/>
          <w:sz w:val="24"/>
          <w:szCs w:val="24"/>
        </w:rPr>
      </w:pPr>
      <w:r>
        <w:rPr>
          <w:rFonts w:cs="仿宋_GB2312" w:asciiTheme="minorEastAsia" w:hAnsiTheme="minorEastAsia" w:eastAsiaTheme="minorEastAsia"/>
          <w:color w:val="000000"/>
          <w:sz w:val="24"/>
          <w:szCs w:val="24"/>
        </w:rPr>
        <w:t>附件3：采购需求</w:t>
      </w:r>
    </w:p>
    <w:p w14:paraId="3C148583">
      <w:pPr>
        <w:pStyle w:val="3"/>
        <w:widowControl/>
        <w:spacing w:beforeAutospacing="0" w:afterAutospacing="0" w:line="360" w:lineRule="atLeast"/>
        <w:ind w:firstLine="482" w:firstLineChars="200"/>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一、项目概况</w:t>
      </w:r>
    </w:p>
    <w:p w14:paraId="2FF7CEA3">
      <w:pPr>
        <w:widowControl/>
        <w:spacing w:line="360" w:lineRule="atLeast"/>
        <w:ind w:left="-360" w:firstLine="480" w:firstLineChars="200"/>
        <w:jc w:val="left"/>
        <w:rPr>
          <w:rFonts w:hint="eastAsia" w:cs="宋体" w:asciiTheme="minorEastAsia" w:hAnsiTheme="minorEastAsia"/>
          <w:kern w:val="0"/>
          <w:sz w:val="24"/>
          <w:lang w:bidi="ar"/>
        </w:rPr>
      </w:pPr>
      <w:r>
        <w:rPr>
          <w:rFonts w:hint="eastAsia" w:cs="宋体" w:asciiTheme="minorEastAsia" w:hAnsiTheme="minorEastAsia"/>
          <w:kern w:val="0"/>
          <w:sz w:val="24"/>
          <w:lang w:bidi="ar"/>
        </w:rPr>
        <w:t>项目名称：</w:t>
      </w:r>
      <w:r>
        <w:rPr>
          <w:rFonts w:cs="仿宋_GB2312" w:asciiTheme="minorEastAsia" w:hAnsiTheme="minorEastAsia"/>
          <w:color w:val="FF0000"/>
          <w:sz w:val="24"/>
        </w:rPr>
        <w:t>西诊实验室建设项目</w:t>
      </w:r>
      <w:r>
        <w:rPr>
          <w:rFonts w:hint="eastAsia" w:cs="宋体" w:asciiTheme="minorEastAsia" w:hAnsiTheme="minorEastAsia"/>
          <w:kern w:val="0"/>
          <w:sz w:val="24"/>
          <w:lang w:bidi="ar"/>
        </w:rPr>
        <w:t>（编号：</w:t>
      </w:r>
      <w:r>
        <w:rPr>
          <w:rFonts w:hint="eastAsia" w:cs="仿宋_GB2312" w:asciiTheme="minorEastAsia" w:hAnsiTheme="minorEastAsia"/>
          <w:color w:val="FF0000"/>
          <w:sz w:val="24"/>
        </w:rPr>
        <w:t>GUCM-2026-XJ-00</w:t>
      </w:r>
      <w:r>
        <w:rPr>
          <w:rFonts w:hint="eastAsia" w:cs="仿宋_GB2312" w:asciiTheme="minorEastAsia" w:hAnsiTheme="minorEastAsia"/>
          <w:color w:val="FF0000"/>
          <w:sz w:val="24"/>
          <w:lang w:val="en-US" w:eastAsia="zh-CN"/>
        </w:rPr>
        <w:t>6</w:t>
      </w:r>
      <w:r>
        <w:rPr>
          <w:rFonts w:hint="eastAsia" w:cs="仿宋_GB2312" w:asciiTheme="minorEastAsia" w:hAnsiTheme="minorEastAsia"/>
          <w:color w:val="FF0000"/>
          <w:sz w:val="24"/>
        </w:rPr>
        <w:t>-XM</w:t>
      </w:r>
      <w:r>
        <w:rPr>
          <w:rFonts w:hint="eastAsia" w:cs="宋体" w:asciiTheme="minorEastAsia" w:hAnsiTheme="minorEastAsia"/>
          <w:kern w:val="0"/>
          <w:sz w:val="24"/>
          <w:lang w:bidi="ar"/>
        </w:rPr>
        <w:t>）</w:t>
      </w:r>
    </w:p>
    <w:p w14:paraId="09FF422F">
      <w:pPr>
        <w:widowControl/>
        <w:spacing w:line="360" w:lineRule="atLeast"/>
        <w:ind w:left="-360" w:firstLine="480" w:firstLineChars="200"/>
        <w:jc w:val="left"/>
        <w:rPr>
          <w:rFonts w:hint="eastAsia" w:asciiTheme="minorEastAsia" w:hAnsiTheme="minorEastAsia"/>
          <w:sz w:val="24"/>
        </w:rPr>
      </w:pPr>
      <w:r>
        <w:rPr>
          <w:rFonts w:hint="eastAsia" w:cs="宋体" w:asciiTheme="minorEastAsia" w:hAnsiTheme="minorEastAsia"/>
          <w:kern w:val="0"/>
          <w:sz w:val="24"/>
          <w:lang w:bidi="ar"/>
        </w:rPr>
        <w:t>采购内容：体格检查考培模型5具、课堂采集分析终端4套、终端管理软件1套、高清双目摄像机4套、摄像机管理软件1套、拾音麦克风4套、触控面板4套。</w:t>
      </w:r>
    </w:p>
    <w:p w14:paraId="52F60BAD">
      <w:pPr>
        <w:pStyle w:val="3"/>
        <w:widowControl/>
        <w:spacing w:beforeAutospacing="0" w:afterAutospacing="0" w:line="360" w:lineRule="atLeast"/>
        <w:ind w:firstLine="482" w:firstLineChars="200"/>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二、▲实质性技术参数要求（必须满足）</w:t>
      </w:r>
    </w:p>
    <w:p w14:paraId="31C6CC62">
      <w:pPr>
        <w:rPr>
          <w:rFonts w:hint="eastAsia" w:asciiTheme="minorEastAsia" w:hAnsiTheme="minorEastAsia"/>
          <w:sz w:val="24"/>
        </w:rPr>
      </w:pPr>
    </w:p>
    <w:tbl>
      <w:tblPr>
        <w:tblStyle w:val="4"/>
        <w:tblW w:w="5631" w:type="pct"/>
        <w:tblInd w:w="-417" w:type="dxa"/>
        <w:tblLayout w:type="autofit"/>
        <w:tblCellMar>
          <w:top w:w="0" w:type="dxa"/>
          <w:left w:w="0" w:type="dxa"/>
          <w:bottom w:w="0" w:type="dxa"/>
          <w:right w:w="0" w:type="dxa"/>
        </w:tblCellMar>
      </w:tblPr>
      <w:tblGrid>
        <w:gridCol w:w="802"/>
        <w:gridCol w:w="1024"/>
        <w:gridCol w:w="988"/>
        <w:gridCol w:w="5229"/>
        <w:gridCol w:w="719"/>
        <w:gridCol w:w="721"/>
      </w:tblGrid>
      <w:tr w14:paraId="094008D8">
        <w:tblPrEx>
          <w:tblCellMar>
            <w:top w:w="0" w:type="dxa"/>
            <w:left w:w="0" w:type="dxa"/>
            <w:bottom w:w="0" w:type="dxa"/>
            <w:right w:w="0" w:type="dxa"/>
          </w:tblCellMar>
        </w:tblPrEx>
        <w:trPr>
          <w:trHeight w:val="590" w:hRule="atLeast"/>
        </w:trPr>
        <w:tc>
          <w:tcPr>
            <w:tcW w:w="5000" w:type="pct"/>
            <w:gridSpan w:val="6"/>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B29ECED">
            <w:pPr>
              <w:rPr>
                <w:rFonts w:hint="eastAsia" w:asciiTheme="minorEastAsia" w:hAnsiTheme="minorEastAsia"/>
                <w:b/>
                <w:bCs/>
                <w:color w:val="000000"/>
                <w:sz w:val="24"/>
              </w:rPr>
            </w:pPr>
            <w:r>
              <w:rPr>
                <w:rFonts w:hint="eastAsia" w:asciiTheme="minorEastAsia" w:hAnsiTheme="minorEastAsia"/>
                <w:b/>
                <w:bCs/>
                <w:color w:val="000000"/>
                <w:sz w:val="24"/>
              </w:rPr>
              <w:t>一、技术要求（</w:t>
            </w:r>
            <w:r>
              <w:rPr>
                <w:rFonts w:hint="eastAsia" w:asciiTheme="minorEastAsia" w:hAnsiTheme="minorEastAsia"/>
                <w:b/>
                <w:sz w:val="24"/>
              </w:rPr>
              <w:t>▲的实质性技术参数要求必须满足</w:t>
            </w:r>
            <w:r>
              <w:rPr>
                <w:rFonts w:hint="eastAsia" w:asciiTheme="minorEastAsia" w:hAnsiTheme="minorEastAsia"/>
                <w:b/>
                <w:bCs/>
                <w:color w:val="000000"/>
                <w:sz w:val="24"/>
              </w:rPr>
              <w:t>）</w:t>
            </w:r>
          </w:p>
        </w:tc>
      </w:tr>
      <w:tr w14:paraId="1E2B24DE">
        <w:tblPrEx>
          <w:tblCellMar>
            <w:top w:w="0" w:type="dxa"/>
            <w:left w:w="0" w:type="dxa"/>
            <w:bottom w:w="0" w:type="dxa"/>
            <w:right w:w="0" w:type="dxa"/>
          </w:tblCellMar>
        </w:tblPrEx>
        <w:trPr>
          <w:trHeight w:val="847"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A50073F">
            <w:pPr>
              <w:jc w:val="center"/>
              <w:rPr>
                <w:rFonts w:hint="eastAsia" w:asciiTheme="minorEastAsia" w:hAnsiTheme="minorEastAsia"/>
                <w:b/>
                <w:bCs/>
                <w:color w:val="000000"/>
                <w:kern w:val="0"/>
                <w:sz w:val="24"/>
              </w:rPr>
            </w:pPr>
            <w:r>
              <w:rPr>
                <w:rFonts w:hint="eastAsia" w:asciiTheme="minorEastAsia" w:hAnsiTheme="minorEastAsia"/>
                <w:b/>
                <w:bCs/>
                <w:color w:val="000000"/>
                <w:kern w:val="0"/>
                <w:sz w:val="24"/>
              </w:rPr>
              <w:t>序号</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D17A72">
            <w:pPr>
              <w:snapToGrid w:val="0"/>
              <w:jc w:val="center"/>
              <w:rPr>
                <w:rFonts w:hint="eastAsia" w:asciiTheme="minorEastAsia" w:hAnsiTheme="minorEastAsia"/>
                <w:b/>
                <w:bCs/>
                <w:color w:val="000000"/>
                <w:sz w:val="24"/>
              </w:rPr>
            </w:pPr>
            <w:r>
              <w:rPr>
                <w:rFonts w:hint="eastAsia" w:asciiTheme="minorEastAsia" w:hAnsiTheme="minorEastAsia"/>
                <w:b/>
                <w:bCs/>
                <w:color w:val="000000"/>
                <w:sz w:val="24"/>
              </w:rPr>
              <w:t>采购内容</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67F3871">
            <w:pPr>
              <w:snapToGrid w:val="0"/>
              <w:jc w:val="center"/>
              <w:rPr>
                <w:rFonts w:hint="eastAsia" w:asciiTheme="minorEastAsia" w:hAnsiTheme="minorEastAsia"/>
                <w:b/>
                <w:bCs/>
                <w:color w:val="000000"/>
                <w:kern w:val="0"/>
                <w:sz w:val="24"/>
              </w:rPr>
            </w:pPr>
            <w:r>
              <w:rPr>
                <w:rFonts w:hint="eastAsia" w:asciiTheme="minorEastAsia" w:hAnsiTheme="minorEastAsia"/>
                <w:b/>
                <w:bCs/>
                <w:color w:val="000000"/>
                <w:sz w:val="24"/>
              </w:rPr>
              <w:t>参考品牌型号</w:t>
            </w: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AD086DC">
            <w:pPr>
              <w:jc w:val="center"/>
              <w:rPr>
                <w:rFonts w:hint="eastAsia" w:asciiTheme="minorEastAsia" w:hAnsiTheme="minorEastAsia"/>
                <w:b/>
                <w:bCs/>
                <w:color w:val="000000"/>
                <w:sz w:val="24"/>
              </w:rPr>
            </w:pPr>
            <w:r>
              <w:rPr>
                <w:rFonts w:hint="eastAsia" w:cs="仿宋_GB2312" w:asciiTheme="minorEastAsia" w:hAnsiTheme="minorEastAsia"/>
                <w:b/>
                <w:bCs/>
                <w:color w:val="000000"/>
                <w:kern w:val="0"/>
                <w:sz w:val="24"/>
              </w:rPr>
              <w:t>技术参数</w:t>
            </w:r>
          </w:p>
        </w:tc>
        <w:tc>
          <w:tcPr>
            <w:tcW w:w="379" w:type="pct"/>
            <w:tcBorders>
              <w:top w:val="single" w:color="auto" w:sz="4" w:space="0"/>
              <w:left w:val="nil"/>
              <w:bottom w:val="single" w:color="auto" w:sz="4" w:space="0"/>
              <w:right w:val="single" w:color="auto" w:sz="4" w:space="0"/>
            </w:tcBorders>
            <w:vAlign w:val="center"/>
          </w:tcPr>
          <w:p w14:paraId="03303150">
            <w:pPr>
              <w:jc w:val="center"/>
              <w:rPr>
                <w:rFonts w:hint="eastAsia" w:cs="仿宋_GB2312" w:asciiTheme="minorEastAsia" w:hAnsiTheme="minorEastAsia"/>
                <w:b/>
                <w:bCs/>
                <w:color w:val="000000"/>
                <w:kern w:val="0"/>
                <w:sz w:val="24"/>
              </w:rPr>
            </w:pPr>
            <w:r>
              <w:rPr>
                <w:rFonts w:hint="eastAsia" w:cs="仿宋_GB2312" w:asciiTheme="minorEastAsia" w:hAnsiTheme="minorEastAsia"/>
                <w:b/>
                <w:bCs/>
                <w:color w:val="000000"/>
                <w:kern w:val="0"/>
                <w:sz w:val="24"/>
              </w:rPr>
              <w:t>计量</w:t>
            </w:r>
          </w:p>
          <w:p w14:paraId="28ED51C7">
            <w:pPr>
              <w:jc w:val="center"/>
              <w:rPr>
                <w:rFonts w:hint="eastAsia" w:asciiTheme="minorEastAsia" w:hAnsiTheme="minorEastAsia"/>
                <w:b/>
                <w:bCs/>
                <w:color w:val="000000"/>
                <w:sz w:val="24"/>
              </w:rPr>
            </w:pPr>
            <w:r>
              <w:rPr>
                <w:rFonts w:hint="eastAsia" w:cs="仿宋_GB2312" w:asciiTheme="minorEastAsia" w:hAnsiTheme="minorEastAsia"/>
                <w:b/>
                <w:bCs/>
                <w:color w:val="000000"/>
                <w:kern w:val="0"/>
                <w:sz w:val="24"/>
              </w:rPr>
              <w:t>单位</w:t>
            </w:r>
          </w:p>
        </w:tc>
        <w:tc>
          <w:tcPr>
            <w:tcW w:w="380" w:type="pct"/>
            <w:tcBorders>
              <w:top w:val="single" w:color="auto" w:sz="4" w:space="0"/>
              <w:left w:val="nil"/>
              <w:bottom w:val="single" w:color="auto" w:sz="4" w:space="0"/>
              <w:right w:val="single" w:color="auto" w:sz="4" w:space="0"/>
            </w:tcBorders>
            <w:vAlign w:val="center"/>
          </w:tcPr>
          <w:p w14:paraId="3C7B06EB">
            <w:pPr>
              <w:jc w:val="center"/>
              <w:rPr>
                <w:rFonts w:hint="eastAsia" w:asciiTheme="minorEastAsia" w:hAnsiTheme="minorEastAsia"/>
                <w:b/>
                <w:bCs/>
                <w:color w:val="000000"/>
                <w:sz w:val="24"/>
              </w:rPr>
            </w:pPr>
            <w:r>
              <w:rPr>
                <w:rFonts w:hint="eastAsia" w:cs="仿宋_GB2312" w:asciiTheme="minorEastAsia" w:hAnsiTheme="minorEastAsia"/>
                <w:b/>
                <w:bCs/>
                <w:color w:val="000000"/>
                <w:kern w:val="0"/>
                <w:sz w:val="24"/>
              </w:rPr>
              <w:t>数量</w:t>
            </w:r>
          </w:p>
        </w:tc>
      </w:tr>
      <w:tr w14:paraId="60DB5308">
        <w:tblPrEx>
          <w:tblCellMar>
            <w:top w:w="0" w:type="dxa"/>
            <w:left w:w="0" w:type="dxa"/>
            <w:bottom w:w="0" w:type="dxa"/>
            <w:right w:w="0" w:type="dxa"/>
          </w:tblCellMar>
        </w:tblPrEx>
        <w:trPr>
          <w:trHeight w:val="90"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4E531C1">
            <w:pPr>
              <w:pStyle w:val="6"/>
              <w:widowControl/>
              <w:ind w:firstLine="0" w:firstLineChars="0"/>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92E1949">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体格检查考培模型</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0294036A">
            <w:pPr>
              <w:widowControl/>
              <w:snapToGrid w:val="0"/>
              <w:jc w:val="center"/>
              <w:textAlignment w:val="top"/>
              <w:rPr>
                <w:rFonts w:hint="eastAsia" w:cs="宋体" w:asciiTheme="minorEastAsia" w:hAnsiTheme="minorEastAsia"/>
                <w:color w:val="000000"/>
                <w:kern w:val="0"/>
                <w:sz w:val="24"/>
                <w:lang w:bidi="ar"/>
              </w:rPr>
            </w:pPr>
          </w:p>
          <w:p w14:paraId="30BDD112">
            <w:pPr>
              <w:widowControl/>
              <w:snapToGrid w:val="0"/>
              <w:jc w:val="center"/>
              <w:textAlignment w:val="top"/>
              <w:rPr>
                <w:rFonts w:hint="eastAsia" w:cs="宋体" w:asciiTheme="minorEastAsia" w:hAnsiTheme="minorEastAsia"/>
                <w:color w:val="000000"/>
                <w:kern w:val="0"/>
                <w:sz w:val="24"/>
                <w:lang w:bidi="ar"/>
              </w:rPr>
            </w:pPr>
          </w:p>
          <w:p w14:paraId="7B6AD2FD">
            <w:pPr>
              <w:widowControl/>
              <w:snapToGrid w:val="0"/>
              <w:jc w:val="center"/>
              <w:textAlignment w:val="top"/>
              <w:rPr>
                <w:rFonts w:hint="eastAsia" w:cs="宋体" w:asciiTheme="minorEastAsia" w:hAnsiTheme="minorEastAsia"/>
                <w:color w:val="000000"/>
                <w:kern w:val="0"/>
                <w:sz w:val="24"/>
                <w:lang w:bidi="ar"/>
              </w:rPr>
            </w:pPr>
          </w:p>
          <w:p w14:paraId="1C64E57E">
            <w:pPr>
              <w:widowControl/>
              <w:snapToGrid w:val="0"/>
              <w:jc w:val="center"/>
              <w:textAlignment w:val="top"/>
              <w:rPr>
                <w:rFonts w:hint="eastAsia" w:cs="宋体" w:asciiTheme="minorEastAsia" w:hAnsiTheme="minorEastAsia"/>
                <w:color w:val="000000"/>
                <w:kern w:val="0"/>
                <w:sz w:val="24"/>
                <w:lang w:bidi="ar"/>
              </w:rPr>
            </w:pPr>
          </w:p>
          <w:p w14:paraId="04591FDD">
            <w:pPr>
              <w:widowControl/>
              <w:snapToGrid w:val="0"/>
              <w:jc w:val="center"/>
              <w:textAlignment w:val="top"/>
              <w:rPr>
                <w:rFonts w:hint="eastAsia" w:cs="宋体" w:asciiTheme="minorEastAsia" w:hAnsiTheme="minorEastAsia"/>
                <w:color w:val="000000"/>
                <w:kern w:val="0"/>
                <w:sz w:val="24"/>
                <w:lang w:bidi="ar"/>
              </w:rPr>
            </w:pPr>
          </w:p>
          <w:p w14:paraId="3C19F556">
            <w:pPr>
              <w:widowControl/>
              <w:snapToGrid w:val="0"/>
              <w:jc w:val="center"/>
              <w:textAlignment w:val="top"/>
              <w:rPr>
                <w:rFonts w:hint="eastAsia" w:cs="宋体" w:asciiTheme="minorEastAsia" w:hAnsiTheme="minorEastAsia"/>
                <w:color w:val="000000"/>
                <w:kern w:val="0"/>
                <w:sz w:val="24"/>
                <w:lang w:bidi="ar"/>
              </w:rPr>
            </w:pPr>
          </w:p>
          <w:p w14:paraId="3BA34C40">
            <w:pPr>
              <w:widowControl/>
              <w:snapToGrid w:val="0"/>
              <w:jc w:val="center"/>
              <w:textAlignment w:val="top"/>
              <w:rPr>
                <w:rFonts w:hint="eastAsia" w:cs="宋体" w:asciiTheme="minorEastAsia" w:hAnsiTheme="minorEastAsia"/>
                <w:color w:val="000000"/>
                <w:kern w:val="0"/>
                <w:sz w:val="24"/>
                <w:lang w:bidi="ar"/>
              </w:rPr>
            </w:pPr>
          </w:p>
          <w:p w14:paraId="160681BD">
            <w:pPr>
              <w:widowControl/>
              <w:snapToGrid w:val="0"/>
              <w:jc w:val="center"/>
              <w:textAlignment w:val="top"/>
              <w:rPr>
                <w:rFonts w:hint="eastAsia" w:cs="宋体" w:asciiTheme="minorEastAsia" w:hAnsiTheme="minorEastAsia"/>
                <w:color w:val="000000"/>
                <w:kern w:val="0"/>
                <w:sz w:val="24"/>
                <w:lang w:bidi="ar"/>
              </w:rPr>
            </w:pPr>
          </w:p>
          <w:p w14:paraId="49ACE0B7">
            <w:pPr>
              <w:widowControl/>
              <w:snapToGrid w:val="0"/>
              <w:jc w:val="center"/>
              <w:textAlignment w:val="top"/>
              <w:rPr>
                <w:rFonts w:hint="eastAsia" w:cs="宋体" w:asciiTheme="minorEastAsia" w:hAnsiTheme="minorEastAsia"/>
                <w:color w:val="000000"/>
                <w:kern w:val="0"/>
                <w:sz w:val="24"/>
                <w:lang w:bidi="ar"/>
              </w:rPr>
            </w:pPr>
          </w:p>
          <w:p w14:paraId="0A0409DF">
            <w:pPr>
              <w:widowControl/>
              <w:snapToGrid w:val="0"/>
              <w:jc w:val="center"/>
              <w:textAlignment w:val="top"/>
              <w:rPr>
                <w:rFonts w:hint="eastAsia" w:cs="宋体" w:asciiTheme="minorEastAsia" w:hAnsiTheme="minorEastAsia"/>
                <w:color w:val="000000"/>
                <w:kern w:val="0"/>
                <w:sz w:val="24"/>
                <w:lang w:bidi="ar"/>
              </w:rPr>
            </w:pPr>
          </w:p>
          <w:p w14:paraId="64A386A5">
            <w:pPr>
              <w:widowControl/>
              <w:snapToGrid w:val="0"/>
              <w:jc w:val="center"/>
              <w:textAlignment w:val="top"/>
              <w:rPr>
                <w:rFonts w:hint="eastAsia" w:cs="宋体" w:asciiTheme="minorEastAsia" w:hAnsiTheme="minorEastAsia"/>
                <w:color w:val="000000"/>
                <w:kern w:val="0"/>
                <w:sz w:val="24"/>
                <w:lang w:bidi="ar"/>
              </w:rPr>
            </w:pPr>
          </w:p>
          <w:p w14:paraId="7DE68111">
            <w:pPr>
              <w:widowControl/>
              <w:snapToGrid w:val="0"/>
              <w:jc w:val="center"/>
              <w:textAlignment w:val="top"/>
              <w:rPr>
                <w:rFonts w:hint="eastAsia" w:cs="宋体" w:asciiTheme="minorEastAsia" w:hAnsiTheme="minorEastAsia"/>
                <w:color w:val="000000"/>
                <w:kern w:val="0"/>
                <w:sz w:val="24"/>
                <w:lang w:bidi="ar"/>
              </w:rPr>
            </w:pPr>
          </w:p>
          <w:p w14:paraId="219400CB">
            <w:pPr>
              <w:widowControl/>
              <w:snapToGrid w:val="0"/>
              <w:jc w:val="center"/>
              <w:textAlignment w:val="top"/>
              <w:rPr>
                <w:rFonts w:hint="eastAsia" w:cs="宋体" w:asciiTheme="minorEastAsia" w:hAnsiTheme="minorEastAsia"/>
                <w:color w:val="000000"/>
                <w:kern w:val="0"/>
                <w:sz w:val="24"/>
                <w:lang w:bidi="ar"/>
              </w:rPr>
            </w:pPr>
          </w:p>
          <w:p w14:paraId="38350718">
            <w:pPr>
              <w:widowControl/>
              <w:snapToGrid w:val="0"/>
              <w:jc w:val="center"/>
              <w:textAlignment w:val="top"/>
              <w:rPr>
                <w:rFonts w:hint="eastAsia" w:cs="宋体" w:asciiTheme="minorEastAsia" w:hAnsiTheme="minorEastAsia"/>
                <w:color w:val="000000"/>
                <w:kern w:val="0"/>
                <w:sz w:val="24"/>
                <w:lang w:bidi="ar"/>
              </w:rPr>
            </w:pPr>
          </w:p>
          <w:p w14:paraId="750CEB80">
            <w:pPr>
              <w:widowControl/>
              <w:snapToGrid w:val="0"/>
              <w:jc w:val="center"/>
              <w:textAlignment w:val="top"/>
              <w:rPr>
                <w:rFonts w:hint="eastAsia" w:cs="宋体" w:asciiTheme="minorEastAsia" w:hAnsiTheme="minorEastAsia"/>
                <w:color w:val="000000"/>
                <w:kern w:val="0"/>
                <w:sz w:val="24"/>
                <w:lang w:bidi="ar"/>
              </w:rPr>
            </w:pPr>
          </w:p>
          <w:p w14:paraId="188BF91B">
            <w:pPr>
              <w:widowControl/>
              <w:jc w:val="center"/>
              <w:rPr>
                <w:rFonts w:hint="eastAsia" w:ascii="宋体" w:hAnsi="宋体" w:eastAsia="宋体" w:cs="宋体"/>
                <w:kern w:val="0"/>
                <w:sz w:val="20"/>
                <w:szCs w:val="20"/>
              </w:rPr>
            </w:pPr>
            <w:r>
              <w:rPr>
                <w:rFonts w:hint="eastAsia"/>
                <w:sz w:val="20"/>
                <w:szCs w:val="20"/>
              </w:rPr>
              <w:t>营口巨成、北京医模、圣医智教</w:t>
            </w:r>
          </w:p>
          <w:p w14:paraId="1A10E0C1">
            <w:pPr>
              <w:widowControl/>
              <w:snapToGrid w:val="0"/>
              <w:jc w:val="center"/>
              <w:textAlignment w:val="top"/>
              <w:rPr>
                <w:rFonts w:hint="eastAsia" w:cs="宋体" w:asciiTheme="minorEastAsia" w:hAnsiTheme="minorEastAsia"/>
                <w:color w:val="000000"/>
                <w:kern w:val="0"/>
                <w:sz w:val="24"/>
                <w:lang w:bidi="ar"/>
              </w:rPr>
            </w:pPr>
          </w:p>
          <w:p w14:paraId="23F14115">
            <w:pPr>
              <w:widowControl/>
              <w:snapToGrid w:val="0"/>
              <w:jc w:val="center"/>
              <w:textAlignment w:val="top"/>
              <w:rPr>
                <w:rFonts w:hint="eastAsia" w:cs="宋体" w:asciiTheme="minorEastAsia" w:hAnsiTheme="minorEastAsia"/>
                <w:color w:val="000000"/>
                <w:kern w:val="0"/>
                <w:sz w:val="24"/>
                <w:lang w:bidi="ar"/>
              </w:rPr>
            </w:pPr>
          </w:p>
          <w:p w14:paraId="01B1FF44">
            <w:pPr>
              <w:widowControl/>
              <w:snapToGrid w:val="0"/>
              <w:jc w:val="center"/>
              <w:textAlignment w:val="top"/>
              <w:rPr>
                <w:rFonts w:hint="eastAsia" w:cs="宋体" w:asciiTheme="minorEastAsia" w:hAnsiTheme="minorEastAsia"/>
                <w:color w:val="000000"/>
                <w:kern w:val="0"/>
                <w:sz w:val="24"/>
                <w:lang w:bidi="ar"/>
              </w:rPr>
            </w:pPr>
          </w:p>
          <w:p w14:paraId="55F8CB56">
            <w:pPr>
              <w:widowControl/>
              <w:snapToGrid w:val="0"/>
              <w:jc w:val="center"/>
              <w:textAlignment w:val="top"/>
              <w:rPr>
                <w:rFonts w:hint="eastAsia" w:cs="宋体" w:asciiTheme="minorEastAsia" w:hAnsiTheme="minorEastAsia"/>
                <w:color w:val="000000"/>
                <w:kern w:val="0"/>
                <w:sz w:val="24"/>
                <w:lang w:bidi="ar"/>
              </w:rPr>
            </w:pP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2B9B79F">
            <w:pPr>
              <w:widowControl/>
              <w:jc w:val="left"/>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一、系统概况</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 xml:space="preserve">▲1、系统主要由成人女性上半身、平板组成，通过扫描二维码或Wi-Fi连接模拟人。 </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2、软件系统以新版《诊断学》教材及《内科学》教材为依据，实现智能模拟人与计算机之间相互交互， 完整体现诊断学 “视、听、触、叩”的技能训练与考核。</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软件系统包含丰富的多媒体内容，包含3D模拟动画、二维动画、真人教学视频、文字详解以及案例图片等，按教材内容进行图、文、音、像四位一体的视诊、触诊、叩诊、听诊及呼吸系统、循环系统和腹部各种常见疾病体征的理论教学，形象阐释病理体征的解剖变化、触诊位置、听诊音等，界面生动，操作简捷，减轻教师进行诊断学及内科学理论教学工作强度，提高教学及考核效果。</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二、模型人功能</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1、模拟人为成人女性上半身，卧躺在硬制台桌或者病床上，解剖标志明显，方便触诊时手部定位，体表皮肤触感柔软、光滑，深部触诊手感软硬度逼真，符合临床触诊要求。</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2、模型可模拟腹式呼吸，可见腹部上下起伏，起伏程度分3个等级：深、正常和浅。可模拟腹式呼吸运动，正常呼吸运动及呼吸困难。</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2.1可调节呼吸频率，呼吸频率在0~30次/分均可选择调节，精确度到1。</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3、模型人双侧颈动脉有搏动，可设置脉搏频率，调节范围为0~200次/分，可以真实触摸脉搏搏动，仿真人跳动，方便教学。</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4、可模拟不同程度的肝肿大和脾肿大，肿大的程度可从0cm~8cm自由设置，精确到0.1cm。</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模型可模拟胃、胰腺、小肠、阑尾、膀胱或子宫、回盲、左上输尿管点、右上输尿管点、左中输尿管点、右中输尿管点、肝或结肠肝曲、脾脏或结肠脾曲、肝脏囊肿、胆囊压痛（墨菲征）等至少14个部位的压痛、反跳痛触诊点，当触诊到相应位置时，模拟人会发出“哎呀，好疼”的语音提示，可单部位触诊或多部位同时触诊。</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▲6、模型人瞳孔采用液晶显示，能够模拟瞳孔散大、瞳孔正常、瞳孔缩小及瞳孔针尖样。</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▲6.1 存在直接对光反射以及间接对光反射功能，对光反射具有3种模式可调，包括正常、无、缓慢。</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6.2左右眼可单独控制或联动控制。</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7、可在模拟人腹部使用真实的听诊器听取肠鸣音，有5种肠鸣音类型可以选择。</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三、软件功能</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1、腹部检查软件以《诊断学》教材及《内科学》教材为依据，按照视、听、叩、触诊断流程，完全符合教学标准。采用真人视频教学、3D动画展示腹部检查方法和操作。</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2、软件主要分为视诊、听诊、叩诊和触诊4个部分，系统地讲述了腹部视诊、听诊、叩诊和触诊的内容和方法。</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▲2.1腹部视诊、触诊、叩诊和听诊内容均具有层级分类，方便查找，每个版块均具有文字、语音、图片、视频等教学资源，全面讲解体格检查的操作方法，便于学生理解掌握。视频及语音音量大小可自由调节。</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3、腹部视诊包含≥27 种内容，腹部视诊内容包括腹部外形、呼吸运动、腹壁静脉、腹壁其他情况等，具体包含腹部外形（膨隆、凹陷等）、呼吸运动（正常、变浅、变深、呼吸频率）、腹壁（腹壁静脉曲张血流方向、皮疹、瘢痕、胃肠型及蠕动波、腹股沟疝）等相关的内容。</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 xml:space="preserve">3.1、在仿真人体模型上可模拟腹式呼吸运动：呼吸频率在0~30次/分均可选择调节（精确度到1），呼吸幅度有正常、浅、深3种调节模式；肝脏-胆囊、脾脏可跟随呼吸运动在膈的上下移动。 </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4、腹部叩诊包含≥ 11 种内容，包含肝浊音界、肝区叩痛、脾脏叩诊、肋脊角叩痛、移动性浊音等相关内容。</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▲5、腹部听诊包含至少5种肠鸣音（正常、亢进、活跃、减弱、消失）、6处血管杂音、摩擦音（肝区、脾区摩擦音）、搔刮试验、振水音等相关内容，可使用临床真实听诊器进行听诊。</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6、腹部触诊包含≥ 38 种内容，具体包含腹壁紧张度、压痛及反跳痛、肝脏触诊、脾脏触诊、胆囊触诊、腹部包块等。</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6.1压痛及反跳痛：腹部包括胃、胰腺、小肠、阑尾、膀胱或子宫、回盲、左上输尿管点、右上输尿管点、左中输尿管点、右中输尿管点、肝或结肠肝曲、脾脏或结肠脾曲、肝脏囊肿、胆囊压痛（墨菲征）等，不少于14个位置的压痛、反跳痛点。</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▲6.2按压压痛及反跳痛时，模拟人有真实压痛及反跳痛反馈。压痛点可单个选择或多个同时选择。</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6.3脾脏触诊：可以模拟任意不同脾脏病变脾脏大小的改变，模拟人脾脏设置范围可从0~8cm进行任意大小调节，可精确到0.1cm随意调节；学生可针对教学内容进行脾脏轻度肿大、中度肿大以及高度肿大测量。</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6.4肝脏触诊：肝脏触诊可以模拟不同肝脏病变肝脏大小的改变；可选单手/双手触诊法，肝脏设置范围可从0~8cm进行任意大小调节，可精确到0.1cm随意调节。</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6.5胆囊触诊时可表现墨菲征阳性，模拟人具有压痛反馈。</w:t>
            </w:r>
          </w:p>
        </w:tc>
        <w:tc>
          <w:tcPr>
            <w:tcW w:w="379" w:type="pct"/>
            <w:tcBorders>
              <w:top w:val="single" w:color="auto" w:sz="4" w:space="0"/>
              <w:left w:val="nil"/>
              <w:bottom w:val="single" w:color="auto" w:sz="4" w:space="0"/>
              <w:right w:val="single" w:color="auto" w:sz="4" w:space="0"/>
            </w:tcBorders>
            <w:vAlign w:val="center"/>
          </w:tcPr>
          <w:p w14:paraId="24334515">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具</w:t>
            </w:r>
          </w:p>
        </w:tc>
        <w:tc>
          <w:tcPr>
            <w:tcW w:w="380" w:type="pct"/>
            <w:tcBorders>
              <w:top w:val="single" w:color="auto" w:sz="4" w:space="0"/>
              <w:left w:val="nil"/>
              <w:bottom w:val="single" w:color="auto" w:sz="4" w:space="0"/>
              <w:right w:val="single" w:color="auto" w:sz="4" w:space="0"/>
            </w:tcBorders>
            <w:vAlign w:val="center"/>
          </w:tcPr>
          <w:p w14:paraId="13CB1320">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5</w:t>
            </w:r>
          </w:p>
        </w:tc>
      </w:tr>
      <w:tr w14:paraId="6634EAA4">
        <w:tblPrEx>
          <w:tblCellMar>
            <w:top w:w="0" w:type="dxa"/>
            <w:left w:w="0" w:type="dxa"/>
            <w:bottom w:w="0" w:type="dxa"/>
            <w:right w:w="0" w:type="dxa"/>
          </w:tblCellMar>
        </w:tblPrEx>
        <w:trPr>
          <w:trHeight w:val="90"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7E0358D">
            <w:pPr>
              <w:pStyle w:val="6"/>
              <w:widowControl/>
              <w:ind w:firstLine="0" w:firstLineChars="0"/>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2</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679327D">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课堂采集分析终端</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08D2DB61">
            <w:pPr>
              <w:widowControl/>
              <w:jc w:val="center"/>
              <w:rPr>
                <w:sz w:val="20"/>
                <w:szCs w:val="20"/>
              </w:rPr>
            </w:pPr>
          </w:p>
          <w:p w14:paraId="00373A5E">
            <w:pPr>
              <w:widowControl/>
              <w:jc w:val="center"/>
              <w:rPr>
                <w:sz w:val="20"/>
                <w:szCs w:val="20"/>
              </w:rPr>
            </w:pPr>
          </w:p>
          <w:p w14:paraId="256B74B9">
            <w:pPr>
              <w:widowControl/>
              <w:jc w:val="center"/>
              <w:rPr>
                <w:sz w:val="20"/>
                <w:szCs w:val="20"/>
              </w:rPr>
            </w:pPr>
          </w:p>
          <w:p w14:paraId="3CAF266D">
            <w:pPr>
              <w:widowControl/>
              <w:jc w:val="center"/>
              <w:rPr>
                <w:sz w:val="20"/>
                <w:szCs w:val="20"/>
              </w:rPr>
            </w:pPr>
          </w:p>
          <w:p w14:paraId="168137AB">
            <w:pPr>
              <w:widowControl/>
              <w:jc w:val="center"/>
              <w:rPr>
                <w:sz w:val="20"/>
                <w:szCs w:val="20"/>
              </w:rPr>
            </w:pPr>
          </w:p>
          <w:p w14:paraId="41997EF4">
            <w:pPr>
              <w:widowControl/>
              <w:jc w:val="center"/>
              <w:rPr>
                <w:sz w:val="20"/>
                <w:szCs w:val="20"/>
              </w:rPr>
            </w:pPr>
          </w:p>
          <w:p w14:paraId="26F148BE">
            <w:pPr>
              <w:widowControl/>
              <w:jc w:val="center"/>
              <w:rPr>
                <w:rFonts w:hint="eastAsia" w:ascii="宋体" w:hAnsi="宋体" w:eastAsia="宋体" w:cs="宋体"/>
                <w:kern w:val="0"/>
                <w:sz w:val="20"/>
                <w:szCs w:val="20"/>
              </w:rPr>
            </w:pPr>
            <w:r>
              <w:rPr>
                <w:rFonts w:hint="eastAsia"/>
                <w:sz w:val="20"/>
                <w:szCs w:val="20"/>
              </w:rPr>
              <w:t>奥威亚、中庆、文香</w:t>
            </w:r>
          </w:p>
          <w:p w14:paraId="5759A46A">
            <w:pPr>
              <w:widowControl/>
              <w:snapToGrid w:val="0"/>
              <w:jc w:val="center"/>
              <w:textAlignment w:val="top"/>
              <w:rPr>
                <w:rFonts w:hint="eastAsia" w:cs="宋体" w:asciiTheme="minorEastAsia" w:hAnsiTheme="minorEastAsia"/>
                <w:color w:val="000000"/>
                <w:kern w:val="0"/>
                <w:sz w:val="24"/>
                <w:lang w:bidi="ar"/>
              </w:rPr>
            </w:pP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9DC8D77">
            <w:pPr>
              <w:widowControl/>
              <w:jc w:val="left"/>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1.主机采用嵌入式设计，高度集成化包括独立完成视频采集、音频采集、音频编码、视频编码、音频处理、视频处理、直播、录制、互动、AI视觉行为分析等功能；</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▲2.主机须满足摄录一体化要求，内置双目摄像设计，包括4K定焦镜头和4K云台镜头。4K定焦镜头采用不低于 1/2.7英寸CMOS传感器，有效像素要求不低于800万；4K云台镜头采用不低于1/3.06英寸CMOS传感器，有效像素要求不低于1300万；</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▲3.性能要求：CPU主芯片采用8核16位架构，高性能低功耗，核心主频≥2.4GHz。内置GPU与NPU协处理器，内置至少6TOPS 算力满足课堂分析需求；</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4.AI边缘计算：要求设备支持AI人工智能课堂分析能力，无需额外部署算力分析设备即可实现AI学生行为分析。要求课后10分钟内形成分析数据，优先考虑实时分析实现学生出勤率、抬头率等分析数据的实时刷新；</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▲5、主机内置AI实时分析能力，具备如下能力：</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①教师视频分析：包括但不限于检测时间、教师行为、教师位置坐标、活动轨迹等；</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②学生视频分析：包括但不限于检测时间、人像数据、行为数据以及出勤情况等；</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6.考虑到教学应用场景对视音频及其他多媒体设备接入需求，终端接口设计要求如下：</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①1路1080P高清摄像机接口，支持POE供电，满足终端外接1路摄像机拍摄老师或学生；</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②HDMI in高清接口高清接口2路，接入多媒体设备画面。HDMI out高清接口1路，输出录制画面或互动画面；</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③麦克风输入接口不少于2路，Line in线性声音频输入接口不少于2路，Line out线性声音频输出接口≥2，适用于高保真音频信号、无线麦克风等设备接入和输出音频信号至音箱；</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7.要求设备支持至少1路USB，1路以太网口，并支持IPv4、IPv6双协议栈；</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8.满足低成本布线，视频信号，音频信号支持基于POE/POC“一线通”技术实现供电、信号控制、信号传输；</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9.要求支持H.264 H.265编码协议，AAC音频编码协议，RTMP、RTSP视频传输协议，H.323、SIP、BFCP、WebRTC视频通信协议，视频封装格式MP4、TS；</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10.主机内置至少1TB的存储空间，保障录制视频文件的存储需求；</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11.要求设备支持自定义上电工作模式，实现通电后的自动开机工作或待机休眠等状态。</w:t>
            </w:r>
          </w:p>
        </w:tc>
        <w:tc>
          <w:tcPr>
            <w:tcW w:w="379" w:type="pct"/>
            <w:tcBorders>
              <w:top w:val="single" w:color="auto" w:sz="4" w:space="0"/>
              <w:left w:val="nil"/>
              <w:bottom w:val="single" w:color="auto" w:sz="4" w:space="0"/>
              <w:right w:val="single" w:color="auto" w:sz="4" w:space="0"/>
            </w:tcBorders>
            <w:vAlign w:val="center"/>
          </w:tcPr>
          <w:p w14:paraId="38B6E828">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套</w:t>
            </w:r>
          </w:p>
        </w:tc>
        <w:tc>
          <w:tcPr>
            <w:tcW w:w="380" w:type="pct"/>
            <w:tcBorders>
              <w:top w:val="single" w:color="auto" w:sz="4" w:space="0"/>
              <w:left w:val="nil"/>
              <w:bottom w:val="single" w:color="auto" w:sz="4" w:space="0"/>
              <w:right w:val="single" w:color="auto" w:sz="4" w:space="0"/>
            </w:tcBorders>
            <w:vAlign w:val="center"/>
          </w:tcPr>
          <w:p w14:paraId="379EC773">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4</w:t>
            </w:r>
          </w:p>
        </w:tc>
      </w:tr>
      <w:tr w14:paraId="39342DEB">
        <w:tblPrEx>
          <w:tblCellMar>
            <w:top w:w="0" w:type="dxa"/>
            <w:left w:w="0" w:type="dxa"/>
            <w:bottom w:w="0" w:type="dxa"/>
            <w:right w:w="0" w:type="dxa"/>
          </w:tblCellMar>
        </w:tblPrEx>
        <w:trPr>
          <w:trHeight w:val="502"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B9A3AE4">
            <w:pPr>
              <w:pStyle w:val="6"/>
              <w:widowControl/>
              <w:ind w:firstLine="0" w:firstLineChars="0"/>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3</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4E949E6">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终端管理软件</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0B4C68EA">
            <w:pPr>
              <w:widowControl/>
              <w:jc w:val="center"/>
              <w:rPr>
                <w:sz w:val="20"/>
                <w:szCs w:val="20"/>
              </w:rPr>
            </w:pPr>
          </w:p>
          <w:p w14:paraId="70F8927E">
            <w:pPr>
              <w:widowControl/>
              <w:jc w:val="center"/>
              <w:rPr>
                <w:sz w:val="20"/>
                <w:szCs w:val="20"/>
              </w:rPr>
            </w:pPr>
          </w:p>
          <w:p w14:paraId="56ABA15C">
            <w:pPr>
              <w:widowControl/>
              <w:jc w:val="center"/>
              <w:rPr>
                <w:sz w:val="20"/>
                <w:szCs w:val="20"/>
              </w:rPr>
            </w:pPr>
          </w:p>
          <w:p w14:paraId="49A89B1B">
            <w:pPr>
              <w:widowControl/>
              <w:jc w:val="center"/>
              <w:rPr>
                <w:sz w:val="20"/>
                <w:szCs w:val="20"/>
              </w:rPr>
            </w:pPr>
          </w:p>
          <w:p w14:paraId="68736653">
            <w:pPr>
              <w:widowControl/>
              <w:jc w:val="center"/>
              <w:rPr>
                <w:sz w:val="20"/>
                <w:szCs w:val="20"/>
              </w:rPr>
            </w:pPr>
          </w:p>
          <w:p w14:paraId="3B560531">
            <w:pPr>
              <w:widowControl/>
              <w:jc w:val="center"/>
              <w:rPr>
                <w:rFonts w:hint="eastAsia" w:ascii="宋体" w:hAnsi="宋体" w:eastAsia="宋体" w:cs="宋体"/>
                <w:kern w:val="0"/>
                <w:sz w:val="20"/>
                <w:szCs w:val="20"/>
              </w:rPr>
            </w:pPr>
            <w:r>
              <w:rPr>
                <w:rFonts w:hint="eastAsia"/>
                <w:sz w:val="20"/>
                <w:szCs w:val="20"/>
              </w:rPr>
              <w:t>奥威亚、中庆、文香</w:t>
            </w:r>
          </w:p>
          <w:p w14:paraId="6D0645B3">
            <w:pPr>
              <w:widowControl/>
              <w:snapToGrid w:val="0"/>
              <w:jc w:val="center"/>
              <w:textAlignment w:val="top"/>
              <w:rPr>
                <w:rFonts w:hint="eastAsia" w:cs="宋体" w:asciiTheme="minorEastAsia" w:hAnsiTheme="minorEastAsia"/>
                <w:color w:val="000000"/>
                <w:kern w:val="0"/>
                <w:sz w:val="24"/>
                <w:lang w:bidi="ar"/>
              </w:rPr>
            </w:pP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03AF856">
            <w:pPr>
              <w:widowControl/>
              <w:jc w:val="left"/>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管理软件可支持通过浏览器登录软件进行管理，管理软件兼容适配国产操作系统、国产浏览器环境下实现导播操作，至少包括系统基本设置、录像文件管理、设备安装信息；可在导播后台看到涵盖内置与外接摄像机以及HDMI信号等所有预览画面；</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2.休眠唤醒：需支持定时休眠唤醒功能，提供精确到秒的自定义时间设置，可以单独设置是否定时休眠或者定时唤醒；</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3.权限管理：需支持对主机后台设置管理员用户与普通用户两种使用权限，普通用户无法进行相关参数与配置修改；</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4.系统状态：支持在导播界面实时查看主机当前CPU温度、磁盘空间占用情况、视频录制的参数配置和正在录制的视频时长与大小等信息；</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5.要求系统支持对外接的高清摄像机进行远程配置，统一维护和管理界面，快速调整拍摄画面质量；</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▲6.存储管理：需支持录像文件循环覆盖功能，系统在存储接近满载的情况时，将自动清理系统内录制日期最老的录像文件；</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7.录制码流：支持主码流和子码流的高低双码流录制，且支持自定义清晰度、帧率、码率和I帧间隔，支持动态比特率或静态比特率两种模式；</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8.支持对录制视频按主讲人或文件名进行模糊检索，并查看视频的时长、分辨率、帧率、码率、编码标准等录像文件视音频指标，支持对录像文件进行回放和下载；</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9.互动能力：要求内置互动模块，无需额外部署MCU类设备即可支持“1+3”的互动授课模式，实现专递课堂教学应用。同时也需支持会议互动模式，创建或加入大规模视音频实时互动。通过通讯录、短号、最近呼叫等方式发起互动呼叫，进行互动教学。</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10. 系统可统一控制所有终端设备（含内置及外接摄像机、音频设备等），支持对课堂进行综合多维度的实时分析，包括“学生出勤率”、“前排就坐率”、“学生抬头率”、“课堂语言分析”、“教师活动轨迹”、“课堂时间分配”等维度数据。</w:t>
            </w:r>
          </w:p>
        </w:tc>
        <w:tc>
          <w:tcPr>
            <w:tcW w:w="379" w:type="pct"/>
            <w:tcBorders>
              <w:top w:val="single" w:color="auto" w:sz="4" w:space="0"/>
              <w:left w:val="nil"/>
              <w:bottom w:val="single" w:color="auto" w:sz="4" w:space="0"/>
              <w:right w:val="single" w:color="auto" w:sz="4" w:space="0"/>
            </w:tcBorders>
            <w:vAlign w:val="center"/>
          </w:tcPr>
          <w:p w14:paraId="7F6C7E05">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套</w:t>
            </w:r>
          </w:p>
        </w:tc>
        <w:tc>
          <w:tcPr>
            <w:tcW w:w="380" w:type="pct"/>
            <w:tcBorders>
              <w:top w:val="single" w:color="auto" w:sz="4" w:space="0"/>
              <w:left w:val="nil"/>
              <w:bottom w:val="single" w:color="auto" w:sz="4" w:space="0"/>
              <w:right w:val="single" w:color="auto" w:sz="4" w:space="0"/>
            </w:tcBorders>
            <w:vAlign w:val="center"/>
          </w:tcPr>
          <w:p w14:paraId="4CE56FB0">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w:t>
            </w:r>
          </w:p>
        </w:tc>
      </w:tr>
      <w:tr w14:paraId="4262A245">
        <w:tblPrEx>
          <w:tblCellMar>
            <w:top w:w="0" w:type="dxa"/>
            <w:left w:w="0" w:type="dxa"/>
            <w:bottom w:w="0" w:type="dxa"/>
            <w:right w:w="0" w:type="dxa"/>
          </w:tblCellMar>
        </w:tblPrEx>
        <w:trPr>
          <w:trHeight w:val="5095"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5425F9D">
            <w:pPr>
              <w:pStyle w:val="6"/>
              <w:widowControl/>
              <w:ind w:firstLine="0" w:firstLineChars="0"/>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4</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237F104">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高清双目摄像机</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5968ECCE">
            <w:pPr>
              <w:widowControl/>
              <w:jc w:val="center"/>
              <w:rPr>
                <w:sz w:val="20"/>
                <w:szCs w:val="20"/>
              </w:rPr>
            </w:pPr>
          </w:p>
          <w:p w14:paraId="3634F42A">
            <w:pPr>
              <w:widowControl/>
              <w:jc w:val="center"/>
              <w:rPr>
                <w:sz w:val="20"/>
                <w:szCs w:val="20"/>
              </w:rPr>
            </w:pPr>
          </w:p>
          <w:p w14:paraId="7C99717C">
            <w:pPr>
              <w:widowControl/>
              <w:jc w:val="center"/>
              <w:rPr>
                <w:sz w:val="20"/>
                <w:szCs w:val="20"/>
              </w:rPr>
            </w:pPr>
          </w:p>
          <w:p w14:paraId="0E6107EF">
            <w:pPr>
              <w:widowControl/>
              <w:jc w:val="center"/>
              <w:rPr>
                <w:sz w:val="20"/>
                <w:szCs w:val="20"/>
              </w:rPr>
            </w:pPr>
          </w:p>
          <w:p w14:paraId="5478F0D8">
            <w:pPr>
              <w:widowControl/>
              <w:jc w:val="center"/>
              <w:rPr>
                <w:sz w:val="20"/>
                <w:szCs w:val="20"/>
              </w:rPr>
            </w:pPr>
          </w:p>
          <w:p w14:paraId="5BE95CA8">
            <w:pPr>
              <w:widowControl/>
              <w:jc w:val="center"/>
              <w:rPr>
                <w:sz w:val="20"/>
                <w:szCs w:val="20"/>
              </w:rPr>
            </w:pPr>
          </w:p>
          <w:p w14:paraId="352439E2">
            <w:pPr>
              <w:widowControl/>
              <w:jc w:val="center"/>
              <w:rPr>
                <w:sz w:val="20"/>
                <w:szCs w:val="20"/>
              </w:rPr>
            </w:pPr>
          </w:p>
          <w:p w14:paraId="6521B607">
            <w:pPr>
              <w:widowControl/>
              <w:jc w:val="center"/>
              <w:rPr>
                <w:sz w:val="20"/>
                <w:szCs w:val="20"/>
              </w:rPr>
            </w:pPr>
          </w:p>
          <w:p w14:paraId="1743F132">
            <w:pPr>
              <w:widowControl/>
              <w:jc w:val="center"/>
              <w:rPr>
                <w:sz w:val="20"/>
                <w:szCs w:val="20"/>
              </w:rPr>
            </w:pPr>
          </w:p>
          <w:p w14:paraId="2D204A16">
            <w:pPr>
              <w:widowControl/>
              <w:jc w:val="center"/>
              <w:rPr>
                <w:sz w:val="20"/>
                <w:szCs w:val="20"/>
              </w:rPr>
            </w:pPr>
          </w:p>
          <w:p w14:paraId="50A3E6A1">
            <w:pPr>
              <w:widowControl/>
              <w:jc w:val="center"/>
              <w:rPr>
                <w:sz w:val="20"/>
                <w:szCs w:val="20"/>
              </w:rPr>
            </w:pPr>
          </w:p>
          <w:p w14:paraId="5F053CFD">
            <w:pPr>
              <w:widowControl/>
              <w:jc w:val="center"/>
              <w:rPr>
                <w:sz w:val="20"/>
                <w:szCs w:val="20"/>
              </w:rPr>
            </w:pPr>
          </w:p>
          <w:p w14:paraId="4589812B">
            <w:pPr>
              <w:widowControl/>
              <w:jc w:val="center"/>
              <w:rPr>
                <w:sz w:val="20"/>
                <w:szCs w:val="20"/>
              </w:rPr>
            </w:pPr>
          </w:p>
          <w:p w14:paraId="28DAFB09">
            <w:pPr>
              <w:widowControl/>
              <w:jc w:val="center"/>
              <w:rPr>
                <w:sz w:val="20"/>
                <w:szCs w:val="20"/>
              </w:rPr>
            </w:pPr>
          </w:p>
          <w:p w14:paraId="57D62B88">
            <w:pPr>
              <w:widowControl/>
              <w:jc w:val="center"/>
              <w:rPr>
                <w:rFonts w:hint="eastAsia" w:ascii="宋体" w:hAnsi="宋体" w:eastAsia="宋体" w:cs="宋体"/>
                <w:kern w:val="0"/>
                <w:sz w:val="20"/>
                <w:szCs w:val="20"/>
              </w:rPr>
            </w:pPr>
            <w:r>
              <w:rPr>
                <w:rFonts w:hint="eastAsia"/>
                <w:sz w:val="20"/>
                <w:szCs w:val="20"/>
              </w:rPr>
              <w:t>奥威亚、中庆、文香</w:t>
            </w:r>
          </w:p>
          <w:p w14:paraId="1A99F1FA">
            <w:pPr>
              <w:widowControl/>
              <w:snapToGrid w:val="0"/>
              <w:jc w:val="center"/>
              <w:textAlignment w:val="top"/>
              <w:rPr>
                <w:rFonts w:hint="eastAsia" w:cs="宋体" w:asciiTheme="minorEastAsia" w:hAnsiTheme="minorEastAsia"/>
                <w:color w:val="000000"/>
                <w:kern w:val="0"/>
                <w:sz w:val="24"/>
                <w:lang w:bidi="ar"/>
              </w:rPr>
            </w:pP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E8E9E01">
            <w:pPr>
              <w:widowControl/>
              <w:jc w:val="left"/>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1.要求内置双目摄像设计，全景镜头采用1/3.06英寸CMOS传感器，有效像素要求超过1300万；云台镜头采用1/2.7英寸CMOS传感器，有效像素要求超过800万；</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2.最大可支持3840×2160并向下兼容；</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3.要求变焦摄像头具备转动跟踪，水平转动范围达±155°，垂直转动范围达-30°~＋120°；</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4.要求支持高速与慢速快门速度，最快不小于1/10000s，最慢不小于1/25s；</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5.要求定焦摄像头水平视场角≥63.4°，垂直视场角≥38.3°；</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6.要求支持H.265、H.264高清视频编码协议；</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7.要求具备数字视频输出口（RJ45）≥1，HDMI视频输出口≥1；</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8.要求具备Console口（RJ45）≥1；</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9.RJ45网络接口≥1，并支持100M/1000M自适应以太网接入与RTSP协议网络视频输出；</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10.要求支持OPUS、G.711A、AAC等常用音频编码协议；</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11.要求具备USB Type-A≥1；</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12.要求支持VISCA协议满足多种场景控制要求；</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13.要求具备背光补偿功能；</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14.支持2D/3D数字降噪，信噪比≥55dB；</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▲15.一线通：要求与搭配的录播主机实现基于RJ45双绞线的一线通连接，完成摄像机供电、控制以及视频信号传输；</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▲16.内置边缘AI算力，支持AI视觉实时分析、人物跟踪拍摄。</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17.支持POE供电和DC12V电源适配器等供电方式；</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18.要求摄像机与录播主机为同一品牌。</w:t>
            </w:r>
          </w:p>
        </w:tc>
        <w:tc>
          <w:tcPr>
            <w:tcW w:w="379" w:type="pct"/>
            <w:tcBorders>
              <w:top w:val="single" w:color="auto" w:sz="4" w:space="0"/>
              <w:left w:val="nil"/>
              <w:bottom w:val="single" w:color="auto" w:sz="4" w:space="0"/>
              <w:right w:val="single" w:color="auto" w:sz="4" w:space="0"/>
            </w:tcBorders>
            <w:vAlign w:val="center"/>
          </w:tcPr>
          <w:p w14:paraId="7A7217ED">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套</w:t>
            </w:r>
          </w:p>
        </w:tc>
        <w:tc>
          <w:tcPr>
            <w:tcW w:w="380" w:type="pct"/>
            <w:tcBorders>
              <w:top w:val="single" w:color="auto" w:sz="4" w:space="0"/>
              <w:left w:val="nil"/>
              <w:bottom w:val="single" w:color="auto" w:sz="4" w:space="0"/>
              <w:right w:val="single" w:color="auto" w:sz="4" w:space="0"/>
            </w:tcBorders>
            <w:vAlign w:val="center"/>
          </w:tcPr>
          <w:p w14:paraId="0F43C9F3">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4</w:t>
            </w:r>
          </w:p>
        </w:tc>
      </w:tr>
      <w:tr w14:paraId="7E336D52">
        <w:tblPrEx>
          <w:tblCellMar>
            <w:top w:w="0" w:type="dxa"/>
            <w:left w:w="0" w:type="dxa"/>
            <w:bottom w:w="0" w:type="dxa"/>
            <w:right w:w="0" w:type="dxa"/>
          </w:tblCellMar>
        </w:tblPrEx>
        <w:trPr>
          <w:trHeight w:val="5095"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D15ABFD">
            <w:pPr>
              <w:pStyle w:val="6"/>
              <w:widowControl/>
              <w:ind w:firstLine="0" w:firstLineChars="0"/>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5</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A532391">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摄像机管理软件</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2890227D">
            <w:pPr>
              <w:widowControl/>
              <w:jc w:val="center"/>
              <w:rPr>
                <w:sz w:val="20"/>
                <w:szCs w:val="20"/>
              </w:rPr>
            </w:pPr>
          </w:p>
          <w:p w14:paraId="43D5D43C">
            <w:pPr>
              <w:widowControl/>
              <w:jc w:val="center"/>
              <w:rPr>
                <w:sz w:val="20"/>
                <w:szCs w:val="20"/>
              </w:rPr>
            </w:pPr>
          </w:p>
          <w:p w14:paraId="7D7401BA">
            <w:pPr>
              <w:widowControl/>
              <w:jc w:val="center"/>
              <w:rPr>
                <w:sz w:val="20"/>
                <w:szCs w:val="20"/>
              </w:rPr>
            </w:pPr>
          </w:p>
          <w:p w14:paraId="6D4E50EB">
            <w:pPr>
              <w:widowControl/>
              <w:jc w:val="center"/>
              <w:rPr>
                <w:sz w:val="20"/>
                <w:szCs w:val="20"/>
              </w:rPr>
            </w:pPr>
          </w:p>
          <w:p w14:paraId="72AEFA26">
            <w:pPr>
              <w:widowControl/>
              <w:jc w:val="center"/>
              <w:rPr>
                <w:sz w:val="20"/>
                <w:szCs w:val="20"/>
              </w:rPr>
            </w:pPr>
          </w:p>
          <w:p w14:paraId="781288A4">
            <w:pPr>
              <w:widowControl/>
              <w:jc w:val="center"/>
              <w:rPr>
                <w:sz w:val="20"/>
                <w:szCs w:val="20"/>
              </w:rPr>
            </w:pPr>
          </w:p>
          <w:p w14:paraId="78A09916">
            <w:pPr>
              <w:widowControl/>
              <w:jc w:val="center"/>
              <w:rPr>
                <w:sz w:val="20"/>
                <w:szCs w:val="20"/>
              </w:rPr>
            </w:pPr>
          </w:p>
          <w:p w14:paraId="49830AD7">
            <w:pPr>
              <w:widowControl/>
              <w:jc w:val="center"/>
              <w:rPr>
                <w:sz w:val="20"/>
                <w:szCs w:val="20"/>
              </w:rPr>
            </w:pPr>
          </w:p>
          <w:p w14:paraId="19F31EB7">
            <w:pPr>
              <w:widowControl/>
              <w:jc w:val="center"/>
              <w:rPr>
                <w:sz w:val="20"/>
                <w:szCs w:val="20"/>
              </w:rPr>
            </w:pPr>
          </w:p>
          <w:p w14:paraId="2D672E2B">
            <w:pPr>
              <w:widowControl/>
              <w:jc w:val="center"/>
              <w:rPr>
                <w:sz w:val="20"/>
                <w:szCs w:val="20"/>
              </w:rPr>
            </w:pPr>
          </w:p>
          <w:p w14:paraId="6FF1A36E">
            <w:pPr>
              <w:widowControl/>
              <w:jc w:val="center"/>
              <w:rPr>
                <w:sz w:val="20"/>
                <w:szCs w:val="20"/>
              </w:rPr>
            </w:pPr>
          </w:p>
          <w:p w14:paraId="392AA77F">
            <w:pPr>
              <w:widowControl/>
              <w:jc w:val="center"/>
              <w:rPr>
                <w:sz w:val="20"/>
                <w:szCs w:val="20"/>
              </w:rPr>
            </w:pPr>
          </w:p>
          <w:p w14:paraId="0101F96F">
            <w:pPr>
              <w:widowControl/>
              <w:jc w:val="center"/>
              <w:rPr>
                <w:rFonts w:hint="eastAsia" w:ascii="宋体" w:hAnsi="宋体" w:eastAsia="宋体" w:cs="宋体"/>
                <w:kern w:val="0"/>
                <w:sz w:val="20"/>
                <w:szCs w:val="20"/>
              </w:rPr>
            </w:pPr>
            <w:r>
              <w:rPr>
                <w:rFonts w:hint="eastAsia"/>
                <w:sz w:val="20"/>
                <w:szCs w:val="20"/>
              </w:rPr>
              <w:t>奥威亚、中庆、文香</w:t>
            </w:r>
          </w:p>
          <w:p w14:paraId="405CDC9D">
            <w:pPr>
              <w:widowControl/>
              <w:snapToGrid w:val="0"/>
              <w:jc w:val="center"/>
              <w:textAlignment w:val="top"/>
              <w:rPr>
                <w:rFonts w:hint="eastAsia" w:cs="宋体" w:asciiTheme="minorEastAsia" w:hAnsiTheme="minorEastAsia"/>
                <w:color w:val="000000"/>
                <w:kern w:val="0"/>
                <w:sz w:val="24"/>
                <w:lang w:bidi="ar"/>
              </w:rPr>
            </w:pP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C0F0E60">
            <w:pPr>
              <w:widowControl/>
              <w:jc w:val="left"/>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1.摄像机传输处理软件需采用B/S架构，支持通用浏览器直接访问进行管理；</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2.需支持设置自动/手动/一键锁定/室内/室外多场景白平衡设置，红、蓝增益可调以满足不同环境取景需要；；</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3.需支持噪声抑制设置功能，支持2D、3D数字降噪；</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4.需支持摄像机图像质量调节功能，包括亮度、对比度、色调、饱和度；</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5.需支持图像水平、垂直翻转，适应摄像机不同的安装方式要求；</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6.需支持摄像机控制功能，包括变焦摄像头控制、预置位设置与调用、焦距调节等；</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7.变焦摄像头需支持自动/手动两种聚焦锁定模式；</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8.变焦摄像头需支持设置预置位数量≥255，预置位设置精度≤0.1°；</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▲9.支持老师行为AI分析功能，包括教师行为轨迹、师生互动行为等；</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▲10.支持老师AI跟踪拍摄，要求内置AI跟踪算法，摄像机内无额外辅助摄像头也无需增加任何设备即可实现人像自动跟踪，包括水平运动、俯仰运动、变焦、聚焦四维实时跟踪；</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▲11.AI抗干扰：支持在拍摄画面有显示设备或其他动态视频播放的情况下，自动启用AI抗干扰能力，保障画面始终锁定被跟踪对象，且跟踪效果不受影响。</w:t>
            </w:r>
          </w:p>
        </w:tc>
        <w:tc>
          <w:tcPr>
            <w:tcW w:w="379" w:type="pct"/>
            <w:tcBorders>
              <w:top w:val="single" w:color="auto" w:sz="4" w:space="0"/>
              <w:left w:val="nil"/>
              <w:bottom w:val="single" w:color="auto" w:sz="4" w:space="0"/>
              <w:right w:val="single" w:color="auto" w:sz="4" w:space="0"/>
            </w:tcBorders>
            <w:vAlign w:val="center"/>
          </w:tcPr>
          <w:p w14:paraId="1908B1B1">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套</w:t>
            </w:r>
          </w:p>
        </w:tc>
        <w:tc>
          <w:tcPr>
            <w:tcW w:w="380" w:type="pct"/>
            <w:tcBorders>
              <w:top w:val="single" w:color="auto" w:sz="4" w:space="0"/>
              <w:left w:val="nil"/>
              <w:bottom w:val="single" w:color="auto" w:sz="4" w:space="0"/>
              <w:right w:val="single" w:color="auto" w:sz="4" w:space="0"/>
            </w:tcBorders>
            <w:vAlign w:val="center"/>
          </w:tcPr>
          <w:p w14:paraId="13E314A0">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w:t>
            </w:r>
          </w:p>
        </w:tc>
      </w:tr>
      <w:tr w14:paraId="6C230DE6">
        <w:tblPrEx>
          <w:tblCellMar>
            <w:top w:w="0" w:type="dxa"/>
            <w:left w:w="0" w:type="dxa"/>
            <w:bottom w:w="0" w:type="dxa"/>
            <w:right w:w="0" w:type="dxa"/>
          </w:tblCellMar>
        </w:tblPrEx>
        <w:trPr>
          <w:trHeight w:val="2354"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F3B6271">
            <w:pPr>
              <w:pStyle w:val="6"/>
              <w:widowControl/>
              <w:ind w:firstLine="0" w:firstLineChars="0"/>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6</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A68D4DC">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拾音麦克风</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112DBC59">
            <w:pPr>
              <w:widowControl/>
              <w:jc w:val="center"/>
              <w:rPr>
                <w:sz w:val="20"/>
                <w:szCs w:val="20"/>
              </w:rPr>
            </w:pPr>
          </w:p>
          <w:p w14:paraId="274536D5">
            <w:pPr>
              <w:widowControl/>
              <w:jc w:val="center"/>
              <w:rPr>
                <w:rFonts w:hint="eastAsia" w:ascii="宋体" w:hAnsi="宋体" w:eastAsia="宋体" w:cs="宋体"/>
                <w:kern w:val="0"/>
                <w:sz w:val="20"/>
                <w:szCs w:val="20"/>
              </w:rPr>
            </w:pPr>
            <w:r>
              <w:rPr>
                <w:rFonts w:hint="eastAsia"/>
                <w:sz w:val="20"/>
                <w:szCs w:val="20"/>
              </w:rPr>
              <w:t>奥威亚、中庆、文香</w:t>
            </w:r>
          </w:p>
          <w:p w14:paraId="1FCC73D9">
            <w:pPr>
              <w:widowControl/>
              <w:snapToGrid w:val="0"/>
              <w:jc w:val="center"/>
              <w:textAlignment w:val="top"/>
              <w:rPr>
                <w:rFonts w:hint="eastAsia" w:cs="宋体" w:asciiTheme="minorEastAsia" w:hAnsiTheme="minorEastAsia"/>
                <w:color w:val="000000"/>
                <w:kern w:val="0"/>
                <w:sz w:val="24"/>
                <w:lang w:bidi="ar"/>
              </w:rPr>
            </w:pP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5AEBE00">
            <w:pPr>
              <w:widowControl/>
              <w:jc w:val="left"/>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1.指向性：超心型</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2.频率响应：40Hz—16kHz</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3.灵敏度≥-7dB±1dB</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4.最大声压级≥110dB</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5.信噪比≥62dB</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6.动态范围≥78.5dB</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7.使用电源：麦克风一线通供电</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8.输出接口：RJ45，数字音频接口</w:t>
            </w:r>
          </w:p>
        </w:tc>
        <w:tc>
          <w:tcPr>
            <w:tcW w:w="379" w:type="pct"/>
            <w:tcBorders>
              <w:top w:val="single" w:color="auto" w:sz="4" w:space="0"/>
              <w:left w:val="nil"/>
              <w:bottom w:val="single" w:color="auto" w:sz="4" w:space="0"/>
              <w:right w:val="single" w:color="auto" w:sz="4" w:space="0"/>
            </w:tcBorders>
            <w:vAlign w:val="center"/>
          </w:tcPr>
          <w:p w14:paraId="23516F47">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套</w:t>
            </w:r>
          </w:p>
        </w:tc>
        <w:tc>
          <w:tcPr>
            <w:tcW w:w="380" w:type="pct"/>
            <w:tcBorders>
              <w:top w:val="single" w:color="auto" w:sz="4" w:space="0"/>
              <w:left w:val="nil"/>
              <w:bottom w:val="single" w:color="auto" w:sz="4" w:space="0"/>
              <w:right w:val="single" w:color="auto" w:sz="4" w:space="0"/>
            </w:tcBorders>
            <w:vAlign w:val="center"/>
          </w:tcPr>
          <w:p w14:paraId="1D10FE41">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4</w:t>
            </w:r>
          </w:p>
        </w:tc>
      </w:tr>
      <w:tr w14:paraId="48EE80D1">
        <w:tblPrEx>
          <w:tblCellMar>
            <w:top w:w="0" w:type="dxa"/>
            <w:left w:w="0" w:type="dxa"/>
            <w:bottom w:w="0" w:type="dxa"/>
            <w:right w:w="0" w:type="dxa"/>
          </w:tblCellMar>
        </w:tblPrEx>
        <w:trPr>
          <w:trHeight w:val="5095" w:hRule="atLeast"/>
        </w:trPr>
        <w:tc>
          <w:tcPr>
            <w:tcW w:w="423"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27D9B0E">
            <w:pPr>
              <w:pStyle w:val="6"/>
              <w:widowControl/>
              <w:ind w:firstLine="0" w:firstLineChars="0"/>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7</w:t>
            </w:r>
          </w:p>
        </w:tc>
        <w:tc>
          <w:tcPr>
            <w:tcW w:w="540"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55CA2EB">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触控面板</w:t>
            </w:r>
          </w:p>
        </w:tc>
        <w:tc>
          <w:tcPr>
            <w:tcW w:w="521" w:type="pct"/>
            <w:tcBorders>
              <w:top w:val="single" w:color="auto" w:sz="4" w:space="0"/>
              <w:left w:val="nil"/>
              <w:bottom w:val="single" w:color="auto" w:sz="4" w:space="0"/>
              <w:right w:val="single" w:color="auto" w:sz="4" w:space="0"/>
            </w:tcBorders>
            <w:tcMar>
              <w:top w:w="13" w:type="dxa"/>
              <w:left w:w="57" w:type="dxa"/>
              <w:bottom w:w="0" w:type="dxa"/>
              <w:right w:w="57" w:type="dxa"/>
            </w:tcMar>
          </w:tcPr>
          <w:p w14:paraId="274063A9">
            <w:pPr>
              <w:widowControl/>
              <w:jc w:val="center"/>
              <w:rPr>
                <w:sz w:val="20"/>
                <w:szCs w:val="20"/>
              </w:rPr>
            </w:pPr>
          </w:p>
          <w:p w14:paraId="5991CB9D">
            <w:pPr>
              <w:widowControl/>
              <w:jc w:val="center"/>
              <w:rPr>
                <w:sz w:val="20"/>
                <w:szCs w:val="20"/>
              </w:rPr>
            </w:pPr>
          </w:p>
          <w:p w14:paraId="4D57F3DE">
            <w:pPr>
              <w:widowControl/>
              <w:jc w:val="center"/>
              <w:rPr>
                <w:sz w:val="20"/>
                <w:szCs w:val="20"/>
              </w:rPr>
            </w:pPr>
          </w:p>
          <w:p w14:paraId="4A8F69A6">
            <w:pPr>
              <w:widowControl/>
              <w:jc w:val="center"/>
              <w:rPr>
                <w:sz w:val="20"/>
                <w:szCs w:val="20"/>
              </w:rPr>
            </w:pPr>
          </w:p>
          <w:p w14:paraId="53985F14">
            <w:pPr>
              <w:widowControl/>
              <w:jc w:val="center"/>
              <w:rPr>
                <w:sz w:val="20"/>
                <w:szCs w:val="20"/>
              </w:rPr>
            </w:pPr>
          </w:p>
          <w:p w14:paraId="4C91C0B0">
            <w:pPr>
              <w:widowControl/>
              <w:jc w:val="center"/>
              <w:rPr>
                <w:sz w:val="20"/>
                <w:szCs w:val="20"/>
              </w:rPr>
            </w:pPr>
          </w:p>
          <w:p w14:paraId="423E6DEA">
            <w:pPr>
              <w:widowControl/>
              <w:jc w:val="center"/>
              <w:rPr>
                <w:sz w:val="20"/>
                <w:szCs w:val="20"/>
              </w:rPr>
            </w:pPr>
          </w:p>
          <w:p w14:paraId="070CD3A4">
            <w:pPr>
              <w:widowControl/>
              <w:jc w:val="center"/>
              <w:rPr>
                <w:sz w:val="20"/>
                <w:szCs w:val="20"/>
              </w:rPr>
            </w:pPr>
          </w:p>
          <w:p w14:paraId="70E7BF21">
            <w:pPr>
              <w:widowControl/>
              <w:jc w:val="center"/>
              <w:rPr>
                <w:sz w:val="20"/>
                <w:szCs w:val="20"/>
              </w:rPr>
            </w:pPr>
          </w:p>
          <w:p w14:paraId="59D346AB">
            <w:pPr>
              <w:widowControl/>
              <w:jc w:val="center"/>
              <w:rPr>
                <w:sz w:val="20"/>
                <w:szCs w:val="20"/>
              </w:rPr>
            </w:pPr>
          </w:p>
          <w:p w14:paraId="6963FD87">
            <w:pPr>
              <w:widowControl/>
              <w:jc w:val="center"/>
              <w:rPr>
                <w:sz w:val="20"/>
                <w:szCs w:val="20"/>
              </w:rPr>
            </w:pPr>
          </w:p>
          <w:p w14:paraId="38917DEE">
            <w:pPr>
              <w:widowControl/>
              <w:jc w:val="center"/>
              <w:rPr>
                <w:sz w:val="20"/>
                <w:szCs w:val="20"/>
              </w:rPr>
            </w:pPr>
          </w:p>
          <w:p w14:paraId="46784D46">
            <w:pPr>
              <w:widowControl/>
              <w:jc w:val="center"/>
              <w:rPr>
                <w:sz w:val="20"/>
                <w:szCs w:val="20"/>
              </w:rPr>
            </w:pPr>
          </w:p>
          <w:p w14:paraId="0102E1AA">
            <w:pPr>
              <w:widowControl/>
              <w:jc w:val="center"/>
              <w:rPr>
                <w:sz w:val="20"/>
                <w:szCs w:val="20"/>
              </w:rPr>
            </w:pPr>
          </w:p>
          <w:p w14:paraId="6F4F16F5">
            <w:pPr>
              <w:widowControl/>
              <w:jc w:val="center"/>
              <w:rPr>
                <w:sz w:val="20"/>
                <w:szCs w:val="20"/>
              </w:rPr>
            </w:pPr>
          </w:p>
          <w:p w14:paraId="0B6BB4A1">
            <w:pPr>
              <w:widowControl/>
              <w:jc w:val="center"/>
              <w:rPr>
                <w:sz w:val="20"/>
                <w:szCs w:val="20"/>
              </w:rPr>
            </w:pPr>
          </w:p>
          <w:p w14:paraId="3991CB49">
            <w:pPr>
              <w:widowControl/>
              <w:jc w:val="center"/>
              <w:rPr>
                <w:sz w:val="20"/>
                <w:szCs w:val="20"/>
              </w:rPr>
            </w:pPr>
          </w:p>
          <w:p w14:paraId="46FB359E">
            <w:pPr>
              <w:widowControl/>
              <w:jc w:val="center"/>
              <w:rPr>
                <w:sz w:val="20"/>
                <w:szCs w:val="20"/>
              </w:rPr>
            </w:pPr>
          </w:p>
          <w:p w14:paraId="21692AD3">
            <w:pPr>
              <w:widowControl/>
              <w:jc w:val="center"/>
              <w:rPr>
                <w:sz w:val="20"/>
                <w:szCs w:val="20"/>
              </w:rPr>
            </w:pPr>
          </w:p>
          <w:p w14:paraId="1FD1DD26">
            <w:pPr>
              <w:widowControl/>
              <w:jc w:val="center"/>
              <w:rPr>
                <w:rFonts w:hint="eastAsia" w:ascii="宋体" w:hAnsi="宋体" w:eastAsia="宋体" w:cs="宋体"/>
                <w:kern w:val="0"/>
                <w:sz w:val="20"/>
                <w:szCs w:val="20"/>
              </w:rPr>
            </w:pPr>
            <w:r>
              <w:rPr>
                <w:rFonts w:hint="eastAsia"/>
                <w:sz w:val="20"/>
                <w:szCs w:val="20"/>
              </w:rPr>
              <w:t>奥威亚、中庆、文香</w:t>
            </w:r>
          </w:p>
          <w:p w14:paraId="717C8189">
            <w:pPr>
              <w:widowControl/>
              <w:snapToGrid w:val="0"/>
              <w:jc w:val="center"/>
              <w:textAlignment w:val="top"/>
              <w:rPr>
                <w:rFonts w:hint="eastAsia" w:cs="宋体" w:asciiTheme="minorEastAsia" w:hAnsiTheme="minorEastAsia"/>
                <w:color w:val="000000"/>
                <w:kern w:val="0"/>
                <w:sz w:val="24"/>
                <w:lang w:bidi="ar"/>
              </w:rPr>
            </w:pPr>
          </w:p>
        </w:tc>
        <w:tc>
          <w:tcPr>
            <w:tcW w:w="275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E34CDFD">
            <w:pPr>
              <w:widowControl/>
              <w:jc w:val="left"/>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1.硬件设计</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1）支持壁挂式上墙部署；</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2）具备10.1英寸1280*800高清全视角显示屏幕；</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3）存储性能：缓存容量不小于2G,存储容量不小于16G；</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4）操作系统 ：Android 11及以上版本；</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5）接口类型：USB≥1， 网络接口≥1，串口RS232≥1；</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2.整体设计</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1）▲控制方式：支持通过网络连接进行录播主机的管理、控制；</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2）电源管理：支持控制录播主机的关机、休眠、唤醒操作；</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3）▲集成录课模式控制、互动模式控制、录像资源管理等控制应用；</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3.录课模式控制</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1）支持通过触控面板实时预览录制信号画面，进行导播操作；</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2）支持录制开始/停止、录制暂停/恢复、直播开启/关闭、电脑画面锁定/解锁等功能操作；</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3）支持常用键位设置，可设置各镜头快速切换、画面布局等相关录课操作常用键位；</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4.互动模式控制</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1）▲支持通讯录呼叫功能，读取显示录播主机通讯录，并能够通过通讯录进行快速呼叫；</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2）支持快速拨号呼叫功能，输入用户短号实现快速呼叫；</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3）支持通过触控面板实时预览互动信号画面，实现直观互动控制；</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4）支持互动过程的录制、暂停、直播等操作；</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5）支持互动过程的自动导播控制、互动导播画面自由选择控制功能；</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5.录像资源管理控制</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1）▲支持录像资源管理，通过导播控制软件直观呈现当前录播主机的录像资源信息，并支持选择相关的录课资源进行回放；</w:t>
            </w:r>
            <w:r>
              <w:rPr>
                <w:rFonts w:hint="eastAsia" w:cs="宋体" w:asciiTheme="minorEastAsia" w:hAnsiTheme="minorEastAsia"/>
                <w:color w:val="000000"/>
                <w:kern w:val="0"/>
                <w:sz w:val="24"/>
                <w:lang w:bidi="ar"/>
              </w:rPr>
              <w:br w:type="textWrapping"/>
            </w:r>
            <w:r>
              <w:rPr>
                <w:rFonts w:hint="eastAsia" w:cs="宋体" w:asciiTheme="minorEastAsia" w:hAnsiTheme="minorEastAsia"/>
                <w:color w:val="000000"/>
                <w:kern w:val="0"/>
                <w:sz w:val="24"/>
                <w:lang w:bidi="ar"/>
              </w:rPr>
              <w:t>2）支持录制资源下载操作，将文件下载至U盘进行移动共享。</w:t>
            </w:r>
          </w:p>
        </w:tc>
        <w:tc>
          <w:tcPr>
            <w:tcW w:w="379" w:type="pct"/>
            <w:tcBorders>
              <w:top w:val="single" w:color="auto" w:sz="4" w:space="0"/>
              <w:left w:val="nil"/>
              <w:bottom w:val="single" w:color="auto" w:sz="4" w:space="0"/>
              <w:right w:val="single" w:color="auto" w:sz="4" w:space="0"/>
            </w:tcBorders>
            <w:vAlign w:val="center"/>
          </w:tcPr>
          <w:p w14:paraId="5A403E80">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套</w:t>
            </w:r>
          </w:p>
        </w:tc>
        <w:tc>
          <w:tcPr>
            <w:tcW w:w="380" w:type="pct"/>
            <w:tcBorders>
              <w:top w:val="single" w:color="auto" w:sz="4" w:space="0"/>
              <w:left w:val="nil"/>
              <w:bottom w:val="single" w:color="auto" w:sz="4" w:space="0"/>
              <w:right w:val="single" w:color="auto" w:sz="4" w:space="0"/>
            </w:tcBorders>
            <w:vAlign w:val="center"/>
          </w:tcPr>
          <w:p w14:paraId="4272B43A">
            <w:pPr>
              <w:widowControl/>
              <w:jc w:val="center"/>
              <w:textAlignment w:val="center"/>
              <w:rPr>
                <w:rFonts w:hint="eastAsia" w:cs="宋体" w:asciiTheme="minorEastAsia" w:hAnsiTheme="minorEastAsia"/>
                <w:color w:val="000000"/>
                <w:kern w:val="0"/>
                <w:sz w:val="24"/>
                <w:lang w:bidi="ar"/>
              </w:rPr>
            </w:pPr>
            <w:r>
              <w:rPr>
                <w:rFonts w:hint="eastAsia" w:cs="宋体" w:asciiTheme="minorEastAsia" w:hAnsiTheme="minorEastAsia"/>
                <w:color w:val="000000"/>
                <w:kern w:val="0"/>
                <w:sz w:val="24"/>
                <w:lang w:bidi="ar"/>
              </w:rPr>
              <w:t>4</w:t>
            </w:r>
          </w:p>
        </w:tc>
      </w:tr>
    </w:tbl>
    <w:tbl>
      <w:tblPr>
        <w:tblStyle w:val="4"/>
        <w:tblpPr w:leftFromText="180" w:rightFromText="180" w:vertAnchor="text" w:horzAnchor="page" w:tblpX="1425" w:tblpY="18"/>
        <w:tblOverlap w:val="never"/>
        <w:tblW w:w="950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31"/>
        <w:gridCol w:w="8178"/>
      </w:tblGrid>
      <w:tr w14:paraId="0F1DDD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509" w:type="dxa"/>
            <w:gridSpan w:val="2"/>
            <w:tcBorders>
              <w:top w:val="single" w:color="auto" w:sz="4" w:space="0"/>
              <w:left w:val="single" w:color="auto" w:sz="4" w:space="0"/>
              <w:bottom w:val="single" w:color="auto" w:sz="4" w:space="0"/>
              <w:right w:val="single" w:color="auto" w:sz="4" w:space="0"/>
            </w:tcBorders>
            <w:vAlign w:val="center"/>
          </w:tcPr>
          <w:p w14:paraId="7148C0EB">
            <w:pPr>
              <w:tabs>
                <w:tab w:val="left" w:pos="1820"/>
              </w:tabs>
              <w:spacing w:after="30" w:line="360" w:lineRule="auto"/>
              <w:ind w:firstLine="480"/>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二、</w:t>
            </w:r>
            <w:r>
              <w:rPr>
                <w:rFonts w:ascii="仿宋" w:hAnsi="仿宋" w:eastAsia="仿宋" w:cs="Times New Roman"/>
                <w:color w:val="000000"/>
                <w:kern w:val="0"/>
                <w:sz w:val="32"/>
                <w:szCs w:val="32"/>
              </w:rPr>
              <w:t>▲</w:t>
            </w:r>
            <w:r>
              <w:rPr>
                <w:rFonts w:hint="eastAsia" w:ascii="仿宋" w:hAnsi="仿宋" w:eastAsia="仿宋" w:cs="宋体"/>
                <w:color w:val="000000"/>
                <w:kern w:val="0"/>
                <w:sz w:val="24"/>
                <w:szCs w:val="32"/>
              </w:rPr>
              <w:t>商务需求</w:t>
            </w:r>
          </w:p>
        </w:tc>
      </w:tr>
      <w:tr w14:paraId="680BA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331" w:type="dxa"/>
            <w:tcBorders>
              <w:top w:val="single" w:color="auto" w:sz="4" w:space="0"/>
              <w:left w:val="single" w:color="auto" w:sz="4" w:space="0"/>
              <w:bottom w:val="single" w:color="auto" w:sz="4" w:space="0"/>
              <w:right w:val="single" w:color="auto" w:sz="4" w:space="0"/>
            </w:tcBorders>
            <w:vAlign w:val="center"/>
          </w:tcPr>
          <w:p w14:paraId="07CFE0D8">
            <w:pPr>
              <w:spacing w:after="30" w:line="360" w:lineRule="auto"/>
              <w:ind w:firstLine="480"/>
              <w:jc w:val="left"/>
              <w:rPr>
                <w:rFonts w:hint="eastAsia" w:ascii="仿宋" w:hAnsi="仿宋" w:eastAsia="仿宋" w:cs="宋体"/>
                <w:color w:val="000000"/>
                <w:kern w:val="0"/>
                <w:sz w:val="24"/>
                <w:szCs w:val="32"/>
              </w:rPr>
            </w:pPr>
            <w:r>
              <w:rPr>
                <w:rFonts w:hint="eastAsia" w:ascii="仿宋" w:hAnsi="仿宋" w:eastAsia="仿宋" w:cs="汉仪字酷堂长林体W"/>
                <w:bCs/>
                <w:color w:val="000000"/>
                <w:kern w:val="0"/>
                <w:sz w:val="24"/>
                <w:szCs w:val="36"/>
              </w:rPr>
              <w:t>服务地点</w:t>
            </w:r>
          </w:p>
        </w:tc>
        <w:tc>
          <w:tcPr>
            <w:tcW w:w="8178" w:type="dxa"/>
            <w:tcBorders>
              <w:top w:val="single" w:color="auto" w:sz="4" w:space="0"/>
              <w:left w:val="single" w:color="auto" w:sz="4" w:space="0"/>
              <w:bottom w:val="single" w:color="auto" w:sz="4" w:space="0"/>
              <w:right w:val="single" w:color="auto" w:sz="4" w:space="0"/>
            </w:tcBorders>
            <w:vAlign w:val="center"/>
          </w:tcPr>
          <w:p w14:paraId="4CF181C1">
            <w:pPr>
              <w:widowControl/>
              <w:spacing w:after="30" w:line="360" w:lineRule="atLeast"/>
              <w:ind w:left="-360" w:firstLine="480"/>
              <w:jc w:val="left"/>
              <w:rPr>
                <w:rFonts w:hint="eastAsia" w:ascii="仿宋" w:hAnsi="仿宋" w:eastAsia="仿宋" w:cs="宋体"/>
                <w:color w:val="000000"/>
                <w:kern w:val="0"/>
                <w:sz w:val="24"/>
                <w:szCs w:val="32"/>
              </w:rPr>
            </w:pPr>
            <w:r>
              <w:rPr>
                <w:rFonts w:hint="eastAsia" w:ascii="仿宋" w:hAnsi="仿宋" w:eastAsia="仿宋" w:cs="Times New Roman"/>
                <w:color w:val="FF0000"/>
                <w:kern w:val="0"/>
                <w:sz w:val="24"/>
                <w:szCs w:val="32"/>
              </w:rPr>
              <w:t>广西中医药大学明秀校区新八栋教学楼。</w:t>
            </w:r>
          </w:p>
        </w:tc>
      </w:tr>
      <w:tr w14:paraId="741C3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331" w:type="dxa"/>
            <w:tcBorders>
              <w:top w:val="single" w:color="auto" w:sz="4" w:space="0"/>
              <w:left w:val="single" w:color="auto" w:sz="4" w:space="0"/>
              <w:bottom w:val="single" w:color="auto" w:sz="4" w:space="0"/>
              <w:right w:val="single" w:color="auto" w:sz="4" w:space="0"/>
            </w:tcBorders>
            <w:vAlign w:val="center"/>
          </w:tcPr>
          <w:p w14:paraId="221DF4D0">
            <w:pPr>
              <w:spacing w:after="30" w:line="360" w:lineRule="auto"/>
              <w:ind w:firstLine="480"/>
              <w:jc w:val="left"/>
              <w:rPr>
                <w:rFonts w:hint="eastAsia" w:ascii="仿宋" w:hAnsi="仿宋" w:eastAsia="仿宋" w:cs="宋体"/>
                <w:color w:val="000000"/>
                <w:kern w:val="0"/>
                <w:sz w:val="24"/>
                <w:szCs w:val="32"/>
              </w:rPr>
            </w:pPr>
            <w:r>
              <w:rPr>
                <w:rFonts w:hint="eastAsia" w:ascii="仿宋" w:hAnsi="仿宋" w:eastAsia="仿宋" w:cs="汉仪字酷堂长林体W"/>
                <w:bCs/>
                <w:color w:val="000000"/>
                <w:kern w:val="0"/>
                <w:sz w:val="24"/>
                <w:szCs w:val="36"/>
              </w:rPr>
              <w:t>质保期</w:t>
            </w:r>
          </w:p>
        </w:tc>
        <w:tc>
          <w:tcPr>
            <w:tcW w:w="8178" w:type="dxa"/>
            <w:tcBorders>
              <w:top w:val="single" w:color="auto" w:sz="4" w:space="0"/>
              <w:left w:val="single" w:color="auto" w:sz="4" w:space="0"/>
              <w:bottom w:val="single" w:color="auto" w:sz="4" w:space="0"/>
              <w:right w:val="single" w:color="auto" w:sz="4" w:space="0"/>
            </w:tcBorders>
            <w:vAlign w:val="center"/>
          </w:tcPr>
          <w:p w14:paraId="7245A01C">
            <w:pPr>
              <w:widowControl/>
              <w:spacing w:after="30" w:line="360" w:lineRule="atLeast"/>
              <w:ind w:left="-360" w:firstLine="480"/>
              <w:jc w:val="left"/>
              <w:rPr>
                <w:rFonts w:hint="eastAsia" w:ascii="仿宋" w:hAnsi="仿宋" w:eastAsia="宋体" w:cs="宋体"/>
                <w:color w:val="000000"/>
                <w:kern w:val="0"/>
                <w:sz w:val="24"/>
                <w:szCs w:val="32"/>
              </w:rPr>
            </w:pPr>
            <w:r>
              <w:rPr>
                <w:rFonts w:hint="eastAsia" w:ascii="仿宋" w:hAnsi="仿宋" w:eastAsia="仿宋" w:cs="Times New Roman"/>
                <w:color w:val="000000"/>
                <w:kern w:val="0"/>
                <w:sz w:val="24"/>
                <w:szCs w:val="32"/>
              </w:rPr>
              <w:t>整体质保期≥3年，自货物最终验收合格之日起正式计算。</w:t>
            </w:r>
          </w:p>
        </w:tc>
      </w:tr>
      <w:tr w14:paraId="21636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331" w:type="dxa"/>
            <w:tcBorders>
              <w:top w:val="single" w:color="auto" w:sz="4" w:space="0"/>
              <w:left w:val="single" w:color="auto" w:sz="4" w:space="0"/>
              <w:bottom w:val="single" w:color="auto" w:sz="4" w:space="0"/>
              <w:right w:val="single" w:color="auto" w:sz="4" w:space="0"/>
            </w:tcBorders>
            <w:vAlign w:val="center"/>
          </w:tcPr>
          <w:p w14:paraId="79554F73">
            <w:pPr>
              <w:spacing w:after="30" w:line="360" w:lineRule="auto"/>
              <w:ind w:firstLine="480"/>
              <w:jc w:val="left"/>
              <w:rPr>
                <w:rFonts w:hint="eastAsia" w:ascii="仿宋" w:hAnsi="仿宋" w:eastAsia="仿宋" w:cs="宋体"/>
                <w:color w:val="000000"/>
                <w:kern w:val="0"/>
                <w:sz w:val="24"/>
                <w:szCs w:val="32"/>
              </w:rPr>
            </w:pPr>
            <w:r>
              <w:rPr>
                <w:rFonts w:hint="eastAsia" w:ascii="仿宋" w:hAnsi="仿宋" w:eastAsia="仿宋" w:cs="汉仪字酷堂长林体W"/>
                <w:bCs/>
                <w:color w:val="000000"/>
                <w:kern w:val="0"/>
                <w:sz w:val="24"/>
                <w:szCs w:val="36"/>
              </w:rPr>
              <w:t>付款方式</w:t>
            </w:r>
          </w:p>
        </w:tc>
        <w:tc>
          <w:tcPr>
            <w:tcW w:w="8178" w:type="dxa"/>
            <w:tcBorders>
              <w:top w:val="single" w:color="auto" w:sz="4" w:space="0"/>
              <w:left w:val="single" w:color="auto" w:sz="4" w:space="0"/>
              <w:bottom w:val="single" w:color="auto" w:sz="4" w:space="0"/>
              <w:right w:val="single" w:color="auto" w:sz="4" w:space="0"/>
            </w:tcBorders>
            <w:vAlign w:val="center"/>
          </w:tcPr>
          <w:p w14:paraId="58D5E949">
            <w:pPr>
              <w:widowControl/>
              <w:spacing w:after="30" w:line="360" w:lineRule="atLeast"/>
              <w:ind w:left="-360"/>
              <w:jc w:val="left"/>
              <w:rPr>
                <w:rFonts w:hint="eastAsia" w:ascii="仿宋" w:hAnsi="仿宋" w:eastAsia="仿宋" w:cs="宋体"/>
                <w:color w:val="000000"/>
                <w:kern w:val="0"/>
                <w:sz w:val="24"/>
                <w:szCs w:val="32"/>
              </w:rPr>
            </w:pPr>
            <w:r>
              <w:rPr>
                <w:rFonts w:hint="eastAsia" w:ascii="仿宋" w:hAnsi="仿宋" w:eastAsia="仿宋" w:cs="Times New Roman"/>
                <w:color w:val="000000"/>
                <w:kern w:val="0"/>
                <w:sz w:val="24"/>
                <w:szCs w:val="32"/>
              </w:rPr>
              <w:t>本项目无预付款。货物安装调试完毕并经采购人一次性验收合格后，成交供应商提交等额、合规的增值税发票（增值税专用发票优先），采购人在15个工作日内通过公对公银行转账方式一次性付清全部货款。</w:t>
            </w:r>
          </w:p>
        </w:tc>
      </w:tr>
      <w:tr w14:paraId="2A8FC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331" w:type="dxa"/>
            <w:tcBorders>
              <w:top w:val="single" w:color="auto" w:sz="4" w:space="0"/>
              <w:left w:val="single" w:color="auto" w:sz="4" w:space="0"/>
              <w:bottom w:val="single" w:color="auto" w:sz="4" w:space="0"/>
              <w:right w:val="single" w:color="auto" w:sz="4" w:space="0"/>
            </w:tcBorders>
            <w:vAlign w:val="center"/>
          </w:tcPr>
          <w:p w14:paraId="7E9CEF20">
            <w:pPr>
              <w:spacing w:after="30" w:line="360" w:lineRule="auto"/>
              <w:ind w:firstLine="480"/>
              <w:jc w:val="left"/>
              <w:rPr>
                <w:rFonts w:hint="eastAsia" w:ascii="仿宋" w:hAnsi="仿宋" w:eastAsia="仿宋" w:cs="宋体"/>
                <w:color w:val="000000"/>
                <w:kern w:val="0"/>
                <w:sz w:val="24"/>
                <w:szCs w:val="32"/>
              </w:rPr>
            </w:pPr>
            <w:r>
              <w:rPr>
                <w:rFonts w:hint="eastAsia" w:ascii="仿宋" w:hAnsi="仿宋" w:eastAsia="仿宋" w:cs="汉仪字酷堂长林体W"/>
                <w:bCs/>
                <w:color w:val="000000"/>
                <w:kern w:val="0"/>
                <w:sz w:val="24"/>
                <w:szCs w:val="36"/>
              </w:rPr>
              <w:t>报价方式</w:t>
            </w:r>
          </w:p>
        </w:tc>
        <w:tc>
          <w:tcPr>
            <w:tcW w:w="8178" w:type="dxa"/>
            <w:tcBorders>
              <w:top w:val="single" w:color="auto" w:sz="4" w:space="0"/>
              <w:left w:val="single" w:color="auto" w:sz="4" w:space="0"/>
              <w:bottom w:val="single" w:color="auto" w:sz="4" w:space="0"/>
              <w:right w:val="single" w:color="auto" w:sz="4" w:space="0"/>
            </w:tcBorders>
            <w:vAlign w:val="center"/>
          </w:tcPr>
          <w:p w14:paraId="658E98FB">
            <w:pPr>
              <w:spacing w:after="30" w:line="300" w:lineRule="exact"/>
              <w:jc w:val="left"/>
              <w:rPr>
                <w:rFonts w:hint="eastAsia" w:ascii="仿宋" w:hAnsi="仿宋" w:eastAsia="仿宋" w:cs="宋体"/>
                <w:color w:val="000000"/>
                <w:kern w:val="0"/>
                <w:sz w:val="24"/>
                <w:szCs w:val="32"/>
              </w:rPr>
            </w:pPr>
            <w:r>
              <w:rPr>
                <w:rFonts w:hint="eastAsia" w:ascii="仿宋" w:hAnsi="仿宋" w:eastAsia="仿宋" w:cs="Times New Roman"/>
                <w:color w:val="000000"/>
                <w:kern w:val="0"/>
                <w:sz w:val="24"/>
                <w:szCs w:val="32"/>
              </w:rPr>
              <w:t>人民币</w:t>
            </w:r>
            <w:r>
              <w:rPr>
                <w:rFonts w:hint="eastAsia" w:ascii="仿宋" w:hAnsi="仿宋" w:eastAsia="仿宋" w:cs="Times New Roman"/>
                <w:kern w:val="0"/>
                <w:sz w:val="24"/>
                <w:szCs w:val="32"/>
              </w:rPr>
              <w:t>报价包含但不限于</w:t>
            </w:r>
            <w:r>
              <w:rPr>
                <w:rFonts w:hint="eastAsia" w:ascii="仿宋" w:hAnsi="仿宋" w:eastAsia="仿宋" w:cs="Times New Roman"/>
                <w:color w:val="000000"/>
                <w:kern w:val="0"/>
                <w:sz w:val="24"/>
                <w:szCs w:val="32"/>
              </w:rPr>
              <w:t>产品、运输、装卸、安装、辅材、调试、保险、检测、税费、售后服务等全部费用</w:t>
            </w:r>
          </w:p>
        </w:tc>
      </w:tr>
      <w:tr w14:paraId="34048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331" w:type="dxa"/>
            <w:tcBorders>
              <w:top w:val="single" w:color="auto" w:sz="4" w:space="0"/>
              <w:left w:val="single" w:color="auto" w:sz="4" w:space="0"/>
              <w:bottom w:val="single" w:color="auto" w:sz="4" w:space="0"/>
              <w:right w:val="single" w:color="auto" w:sz="4" w:space="0"/>
            </w:tcBorders>
            <w:vAlign w:val="center"/>
          </w:tcPr>
          <w:p w14:paraId="68CC61B9">
            <w:pPr>
              <w:widowControl/>
              <w:numPr>
                <w:ilvl w:val="1"/>
                <w:numId w:val="0"/>
              </w:numPr>
              <w:spacing w:before="50" w:after="50" w:line="360" w:lineRule="atLeast"/>
              <w:jc w:val="left"/>
              <w:outlineLvl w:val="1"/>
              <w:rPr>
                <w:rFonts w:hint="eastAsia" w:ascii="仿宋" w:hAnsi="仿宋" w:eastAsia="仿宋" w:cs="Times New Roman"/>
                <w:b/>
                <w:bCs/>
                <w:color w:val="000000"/>
                <w:kern w:val="0"/>
                <w:sz w:val="24"/>
                <w14:textFill>
                  <w14:solidFill>
                    <w14:srgbClr w14:val="000000">
                      <w14:lumMod w14:val="85000"/>
                      <w14:lumOff w14:val="15000"/>
                    </w14:srgbClr>
                  </w14:solidFill>
                </w14:textFill>
              </w:rPr>
            </w:pPr>
            <w:r>
              <w:rPr>
                <w:rFonts w:ascii="仿宋" w:hAnsi="仿宋" w:eastAsia="仿宋" w:cs="Times New Roman"/>
                <w:b/>
                <w:bCs/>
                <w:color w:val="000000"/>
                <w:kern w:val="0"/>
                <w:sz w:val="24"/>
                <w14:textFill>
                  <w14:solidFill>
                    <w14:srgbClr w14:val="000000">
                      <w14:lumMod w14:val="85000"/>
                      <w14:lumOff w14:val="15000"/>
                    </w14:srgbClr>
                  </w14:solidFill>
                </w14:textFill>
              </w:rPr>
              <w:t>售后服务要求</w:t>
            </w:r>
          </w:p>
          <w:p w14:paraId="03CDEFD2">
            <w:pPr>
              <w:spacing w:after="30" w:line="360" w:lineRule="auto"/>
              <w:ind w:firstLine="480"/>
              <w:jc w:val="left"/>
              <w:rPr>
                <w:rFonts w:hint="eastAsia" w:ascii="仿宋" w:hAnsi="仿宋" w:eastAsia="仿宋" w:cs="宋体"/>
                <w:color w:val="000000"/>
                <w:kern w:val="0"/>
                <w:sz w:val="24"/>
                <w:szCs w:val="32"/>
              </w:rPr>
            </w:pPr>
          </w:p>
        </w:tc>
        <w:tc>
          <w:tcPr>
            <w:tcW w:w="8178" w:type="dxa"/>
            <w:tcBorders>
              <w:top w:val="single" w:color="auto" w:sz="4" w:space="0"/>
              <w:left w:val="single" w:color="auto" w:sz="4" w:space="0"/>
              <w:bottom w:val="single" w:color="auto" w:sz="4" w:space="0"/>
              <w:right w:val="single" w:color="auto" w:sz="4" w:space="0"/>
            </w:tcBorders>
            <w:vAlign w:val="center"/>
          </w:tcPr>
          <w:p w14:paraId="0E75F733">
            <w:pPr>
              <w:widowControl/>
              <w:spacing w:after="30" w:line="264"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1.严格执行国家产品“三包”政策，质保期内非人为损坏的质量问题，成交供应商无条件更换、退货（退换方式由采购人确定），承担检测、运输、人工等全部费用。</w:t>
            </w:r>
          </w:p>
          <w:p w14:paraId="5E9923EF">
            <w:pPr>
              <w:spacing w:after="30" w:line="264" w:lineRule="auto"/>
              <w:jc w:val="left"/>
              <w:rPr>
                <w:rFonts w:hint="eastAsia" w:ascii="仿宋" w:hAnsi="仿宋" w:eastAsia="仿宋" w:cs="宋体"/>
                <w:color w:val="000000"/>
                <w:kern w:val="0"/>
                <w:sz w:val="24"/>
                <w:szCs w:val="32"/>
              </w:rPr>
            </w:pPr>
            <w:r>
              <w:rPr>
                <w:rFonts w:hint="eastAsia" w:ascii="仿宋" w:hAnsi="仿宋" w:eastAsia="仿宋" w:cs="仿宋"/>
                <w:color w:val="000000"/>
                <w:kern w:val="0"/>
                <w:sz w:val="24"/>
                <w:lang w:bidi="ar"/>
              </w:rPr>
              <w:t>2.质保期内供应商拒不履行维保、退换货义务的，采购人可委托第三方处理，产生的所有费用由成交供应商全额承担，同时采购人有权追偿损失、解除合同。</w:t>
            </w:r>
          </w:p>
        </w:tc>
      </w:tr>
      <w:tr w14:paraId="1D28B6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331" w:type="dxa"/>
            <w:tcBorders>
              <w:top w:val="single" w:color="auto" w:sz="4" w:space="0"/>
              <w:left w:val="single" w:color="auto" w:sz="4" w:space="0"/>
              <w:bottom w:val="single" w:color="auto" w:sz="4" w:space="0"/>
              <w:right w:val="single" w:color="auto" w:sz="4" w:space="0"/>
            </w:tcBorders>
            <w:vAlign w:val="center"/>
          </w:tcPr>
          <w:p w14:paraId="2BF4B0F3">
            <w:pPr>
              <w:widowControl/>
              <w:numPr>
                <w:ilvl w:val="1"/>
                <w:numId w:val="0"/>
              </w:numPr>
              <w:spacing w:before="50" w:after="50" w:line="360" w:lineRule="atLeast"/>
              <w:jc w:val="left"/>
              <w:outlineLvl w:val="1"/>
              <w:rPr>
                <w:rFonts w:hint="eastAsia" w:ascii="仿宋" w:hAnsi="仿宋" w:eastAsia="仿宋" w:cs="Times New Roman"/>
                <w:b/>
                <w:bCs/>
                <w:color w:val="000000"/>
                <w:kern w:val="0"/>
                <w:sz w:val="24"/>
                <w14:textFill>
                  <w14:solidFill>
                    <w14:srgbClr w14:val="000000">
                      <w14:lumMod w14:val="85000"/>
                      <w14:lumOff w14:val="15000"/>
                    </w14:srgbClr>
                  </w14:solidFill>
                </w14:textFill>
              </w:rPr>
            </w:pPr>
            <w:r>
              <w:rPr>
                <w:rFonts w:ascii="仿宋" w:hAnsi="仿宋" w:eastAsia="仿宋" w:cs="Times New Roman"/>
                <w:b/>
                <w:bCs/>
                <w:color w:val="000000"/>
                <w:kern w:val="0"/>
                <w:sz w:val="24"/>
                <w14:textFill>
                  <w14:solidFill>
                    <w14:srgbClr w14:val="000000">
                      <w14:lumMod w14:val="85000"/>
                      <w14:lumOff w14:val="15000"/>
                    </w14:srgbClr>
                  </w14:solidFill>
                </w14:textFill>
              </w:rPr>
              <w:t>验收要求</w:t>
            </w:r>
          </w:p>
          <w:p w14:paraId="65353071">
            <w:pPr>
              <w:spacing w:after="30" w:line="360" w:lineRule="auto"/>
              <w:ind w:firstLine="480"/>
              <w:jc w:val="left"/>
              <w:rPr>
                <w:rFonts w:hint="eastAsia" w:ascii="仿宋" w:hAnsi="仿宋" w:eastAsia="仿宋" w:cs="宋体"/>
                <w:color w:val="000000"/>
                <w:kern w:val="0"/>
                <w:sz w:val="24"/>
                <w:szCs w:val="32"/>
              </w:rPr>
            </w:pPr>
          </w:p>
        </w:tc>
        <w:tc>
          <w:tcPr>
            <w:tcW w:w="8178" w:type="dxa"/>
            <w:tcBorders>
              <w:top w:val="single" w:color="auto" w:sz="4" w:space="0"/>
              <w:left w:val="single" w:color="auto" w:sz="4" w:space="0"/>
              <w:bottom w:val="single" w:color="auto" w:sz="4" w:space="0"/>
              <w:right w:val="single" w:color="auto" w:sz="4" w:space="0"/>
            </w:tcBorders>
            <w:vAlign w:val="center"/>
          </w:tcPr>
          <w:p w14:paraId="44905AE8">
            <w:pPr>
              <w:widowControl/>
              <w:spacing w:after="30" w:line="360" w:lineRule="atLeast"/>
              <w:ind w:left="-360"/>
              <w:jc w:val="left"/>
              <w:rPr>
                <w:rFonts w:hint="eastAsia" w:ascii="仿宋" w:hAnsi="仿宋" w:eastAsia="仿宋" w:cs="Times New Roman"/>
                <w:color w:val="000000"/>
                <w:kern w:val="0"/>
                <w:sz w:val="24"/>
                <w:szCs w:val="32"/>
              </w:rPr>
            </w:pPr>
            <w:r>
              <w:rPr>
                <w:rFonts w:hint="eastAsia" w:ascii="仿宋" w:hAnsi="仿宋" w:eastAsia="仿宋" w:cs="Times New Roman"/>
                <w:color w:val="000000"/>
                <w:kern w:val="0"/>
                <w:sz w:val="24"/>
                <w:szCs w:val="32"/>
              </w:rPr>
              <w:t>1.验收方式</w:t>
            </w:r>
          </w:p>
          <w:p w14:paraId="70FC59C9">
            <w:pPr>
              <w:widowControl/>
              <w:spacing w:after="30" w:line="360" w:lineRule="atLeast"/>
              <w:ind w:left="-360"/>
              <w:jc w:val="left"/>
              <w:rPr>
                <w:rFonts w:hint="eastAsia" w:ascii="仿宋" w:hAnsi="仿宋" w:eastAsia="仿宋" w:cs="Times New Roman"/>
                <w:color w:val="000000"/>
                <w:kern w:val="0"/>
                <w:sz w:val="24"/>
                <w:szCs w:val="32"/>
              </w:rPr>
            </w:pPr>
            <w:r>
              <w:rPr>
                <w:rFonts w:hint="eastAsia" w:ascii="仿宋" w:hAnsi="仿宋" w:eastAsia="仿宋" w:cs="Times New Roman"/>
                <w:color w:val="000000"/>
                <w:kern w:val="0"/>
                <w:sz w:val="24"/>
                <w:szCs w:val="32"/>
              </w:rPr>
              <w:t>本项目采用一次性验收方式。货物运抵指定交付地点并完成安装调试后，采购人在5个工作日内组织一次性验收，对货物的数量、规格型号、外观完整性、技术</w:t>
            </w:r>
            <w:r>
              <w:rPr>
                <w:rFonts w:hint="eastAsia" w:ascii="仿宋" w:hAnsi="仿宋" w:eastAsia="仿宋" w:cs="Times New Roman"/>
                <w:color w:val="000000"/>
                <w:kern w:val="0"/>
                <w:sz w:val="24"/>
                <w:szCs w:val="32"/>
                <w:lang w:val="en-US" w:eastAsia="zh-CN"/>
              </w:rPr>
              <w:t>参</w:t>
            </w:r>
            <w:r>
              <w:rPr>
                <w:rFonts w:hint="eastAsia" w:ascii="仿宋" w:hAnsi="仿宋" w:eastAsia="仿宋" w:cs="Times New Roman"/>
                <w:color w:val="000000"/>
                <w:kern w:val="0"/>
                <w:sz w:val="24"/>
                <w:szCs w:val="32"/>
              </w:rPr>
              <w:t>参数及系统兼容性等进行全面核验。</w:t>
            </w:r>
          </w:p>
          <w:p w14:paraId="1C0D5641">
            <w:pPr>
              <w:widowControl/>
              <w:spacing w:after="30" w:line="360" w:lineRule="atLeast"/>
              <w:jc w:val="left"/>
              <w:rPr>
                <w:rFonts w:hint="eastAsia" w:ascii="仿宋" w:hAnsi="仿宋" w:eastAsia="仿宋" w:cs="Times New Roman"/>
                <w:color w:val="000000"/>
                <w:kern w:val="0"/>
                <w:sz w:val="24"/>
                <w:szCs w:val="32"/>
              </w:rPr>
            </w:pPr>
            <w:r>
              <w:rPr>
                <w:rFonts w:hint="eastAsia" w:ascii="仿宋" w:hAnsi="仿宋" w:eastAsia="仿宋" w:cs="Times New Roman"/>
                <w:color w:val="000000"/>
                <w:kern w:val="0"/>
                <w:sz w:val="24"/>
                <w:szCs w:val="32"/>
              </w:rPr>
              <w:t>2.验收依据与标准</w:t>
            </w:r>
          </w:p>
          <w:p w14:paraId="46B2B42F">
            <w:pPr>
              <w:widowControl/>
              <w:spacing w:after="30" w:line="360" w:lineRule="atLeast"/>
              <w:ind w:left="-360"/>
              <w:jc w:val="left"/>
              <w:rPr>
                <w:rFonts w:hint="eastAsia" w:ascii="仿宋" w:hAnsi="仿宋" w:eastAsia="仿宋" w:cs="Times New Roman"/>
                <w:color w:val="000000"/>
                <w:kern w:val="0"/>
                <w:sz w:val="24"/>
                <w:szCs w:val="32"/>
              </w:rPr>
            </w:pPr>
            <w:r>
              <w:rPr>
                <w:rFonts w:hint="eastAsia" w:ascii="仿宋" w:hAnsi="仿宋" w:eastAsia="仿宋" w:cs="Times New Roman"/>
                <w:color w:val="000000"/>
                <w:kern w:val="0"/>
                <w:sz w:val="24"/>
                <w:szCs w:val="32"/>
              </w:rPr>
              <w:t>验</w:t>
            </w:r>
            <w:r>
              <w:rPr>
                <w:rFonts w:hint="eastAsia" w:ascii="仿宋" w:hAnsi="仿宋" w:eastAsia="仿宋" w:cs="Times New Roman"/>
                <w:color w:val="000000"/>
                <w:kern w:val="0"/>
                <w:sz w:val="24"/>
                <w:szCs w:val="32"/>
                <w:lang w:val="en-US" w:eastAsia="zh-CN"/>
              </w:rPr>
              <w:t xml:space="preserve">  验收</w:t>
            </w:r>
            <w:r>
              <w:rPr>
                <w:rFonts w:hint="eastAsia" w:ascii="仿宋" w:hAnsi="仿宋" w:eastAsia="仿宋" w:cs="Times New Roman"/>
                <w:color w:val="000000"/>
                <w:kern w:val="0"/>
                <w:sz w:val="24"/>
                <w:szCs w:val="32"/>
              </w:rPr>
              <w:t>以本采购需求所载明的技术参数、供货标准、系统兼容性要求及国家强制性标准或行业推荐性标准为依据，重点审查产品真伪、数量、规格型号、是否全新原装、参数指标达标性及系统兼容性。</w:t>
            </w:r>
          </w:p>
          <w:p w14:paraId="50B74E3C">
            <w:pPr>
              <w:widowControl/>
              <w:spacing w:after="30" w:line="360" w:lineRule="atLeast"/>
              <w:jc w:val="left"/>
              <w:rPr>
                <w:rFonts w:hint="eastAsia" w:ascii="仿宋" w:hAnsi="仿宋" w:eastAsia="仿宋" w:cs="Times New Roman"/>
                <w:color w:val="000000"/>
                <w:kern w:val="0"/>
                <w:sz w:val="24"/>
                <w:szCs w:val="32"/>
              </w:rPr>
            </w:pPr>
            <w:r>
              <w:rPr>
                <w:rFonts w:hint="eastAsia" w:ascii="仿宋" w:hAnsi="仿宋" w:eastAsia="仿宋" w:cs="Times New Roman"/>
                <w:color w:val="000000"/>
                <w:kern w:val="0"/>
                <w:sz w:val="24"/>
                <w:szCs w:val="32"/>
              </w:rPr>
              <w:t>3.验收结果与风险承担</w:t>
            </w:r>
          </w:p>
          <w:p w14:paraId="23412180">
            <w:pPr>
              <w:widowControl/>
              <w:spacing w:after="30" w:line="360" w:lineRule="atLeast"/>
              <w:ind w:firstLine="480" w:firstLineChars="200"/>
              <w:jc w:val="left"/>
              <w:rPr>
                <w:rFonts w:hint="eastAsia" w:ascii="仿宋" w:hAnsi="仿宋" w:eastAsia="仿宋" w:cs="Times New Roman"/>
                <w:color w:val="000000"/>
                <w:kern w:val="0"/>
                <w:sz w:val="24"/>
                <w:szCs w:val="32"/>
              </w:rPr>
            </w:pPr>
            <w:r>
              <w:rPr>
                <w:rFonts w:hint="eastAsia" w:ascii="仿宋" w:hAnsi="仿宋" w:eastAsia="仿宋" w:cs="Times New Roman"/>
                <w:color w:val="000000"/>
                <w:kern w:val="0"/>
                <w:sz w:val="24"/>
                <w:szCs w:val="32"/>
              </w:rPr>
              <w:t>验收合格的，采购人签署验收报告，货物正式交付。验收不合格的，供应商应在采购人要求的合理期限内免费整改并重新申请验收。供应商无正当理由拒绝到场配合验收的，构成严重违约，应向采购人支付合同总金额20%的违约金。在验收合格并正式移交采购人之前，全部货物的保管责任、毁损灭失风险及安全责任均由供应商独立承担。</w:t>
            </w:r>
          </w:p>
        </w:tc>
      </w:tr>
      <w:tr w14:paraId="5AD19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331" w:type="dxa"/>
            <w:tcBorders>
              <w:top w:val="single" w:color="auto" w:sz="4" w:space="0"/>
              <w:left w:val="single" w:color="auto" w:sz="4" w:space="0"/>
              <w:bottom w:val="single" w:color="auto" w:sz="4" w:space="0"/>
              <w:right w:val="single" w:color="auto" w:sz="4" w:space="0"/>
            </w:tcBorders>
            <w:vAlign w:val="center"/>
          </w:tcPr>
          <w:p w14:paraId="3DFEDBFF">
            <w:pPr>
              <w:widowControl/>
              <w:numPr>
                <w:ilvl w:val="1"/>
                <w:numId w:val="0"/>
              </w:numPr>
              <w:spacing w:before="50" w:after="50" w:line="360" w:lineRule="atLeast"/>
              <w:jc w:val="left"/>
              <w:outlineLvl w:val="1"/>
              <w:rPr>
                <w:rFonts w:hint="eastAsia" w:ascii="仿宋" w:hAnsi="仿宋" w:eastAsia="仿宋" w:cs="Times New Roman"/>
                <w:b/>
                <w:bCs/>
                <w:color w:val="000000"/>
                <w:kern w:val="0"/>
                <w:sz w:val="24"/>
                <w14:textFill>
                  <w14:solidFill>
                    <w14:srgbClr w14:val="000000">
                      <w14:lumMod w14:val="85000"/>
                      <w14:lumOff w14:val="15000"/>
                    </w14:srgbClr>
                  </w14:solidFill>
                </w14:textFill>
              </w:rPr>
            </w:pPr>
            <w:r>
              <w:rPr>
                <w:rFonts w:ascii="仿宋" w:hAnsi="仿宋" w:eastAsia="仿宋" w:cs="Times New Roman"/>
                <w:b/>
                <w:bCs/>
                <w:color w:val="000000"/>
                <w:kern w:val="0"/>
                <w:sz w:val="24"/>
                <w14:textFill>
                  <w14:solidFill>
                    <w14:srgbClr w14:val="000000">
                      <w14:lumMod w14:val="85000"/>
                      <w14:lumOff w14:val="15000"/>
                    </w14:srgbClr>
                  </w14:solidFill>
                </w14:textFill>
              </w:rPr>
              <w:t>违约责任</w:t>
            </w:r>
          </w:p>
          <w:p w14:paraId="754A9210">
            <w:pPr>
              <w:spacing w:after="30" w:line="360" w:lineRule="auto"/>
              <w:ind w:firstLine="480"/>
              <w:jc w:val="left"/>
              <w:rPr>
                <w:rFonts w:hint="eastAsia" w:ascii="仿宋" w:hAnsi="仿宋" w:eastAsia="仿宋" w:cs="宋体"/>
                <w:color w:val="000000"/>
                <w:kern w:val="0"/>
                <w:sz w:val="24"/>
                <w:szCs w:val="32"/>
              </w:rPr>
            </w:pPr>
          </w:p>
        </w:tc>
        <w:tc>
          <w:tcPr>
            <w:tcW w:w="8178" w:type="dxa"/>
            <w:tcBorders>
              <w:top w:val="single" w:color="auto" w:sz="4" w:space="0"/>
              <w:left w:val="single" w:color="auto" w:sz="4" w:space="0"/>
              <w:bottom w:val="single" w:color="auto" w:sz="4" w:space="0"/>
              <w:right w:val="single" w:color="auto" w:sz="4" w:space="0"/>
            </w:tcBorders>
            <w:vAlign w:val="center"/>
          </w:tcPr>
          <w:p w14:paraId="48D25424">
            <w:pPr>
              <w:spacing w:after="30" w:line="264" w:lineRule="auto"/>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1.货物不符之违约责任</w:t>
            </w:r>
          </w:p>
          <w:p w14:paraId="47F2CB4F">
            <w:pPr>
              <w:spacing w:after="30" w:line="264" w:lineRule="auto"/>
              <w:ind w:firstLine="480" w:firstLineChars="200"/>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供应商须完全响应本采购需求中的实质性条款，所提供的货物质量、技术参数、规格标准及系统兼容性须与响应文件及合同约定100%匹配。若货物存在品牌、型号、规格、产地、材质、参数、兼容性等与约定不符的情形（包括但不限于“货不对板”），即构成根本违约。采购人有权单方解除合同，要求供应商在3个工作日内退还已付全部款项，并按合同总价款的20%向采购人支付违约金；违约金不足以弥补采购人实际损失（包括但不限于替代采购差价、停业损失、第三方索赔等）的，采购人有权继续追偿。</w:t>
            </w:r>
          </w:p>
          <w:p w14:paraId="486E748F">
            <w:pPr>
              <w:spacing w:after="30" w:line="264" w:lineRule="auto"/>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2.发票违约及税务合规责任</w:t>
            </w:r>
          </w:p>
          <w:p w14:paraId="507A6A24">
            <w:pPr>
              <w:spacing w:after="30" w:line="264" w:lineRule="auto"/>
              <w:ind w:firstLine="480" w:firstLineChars="200"/>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供应商须按照国家税收法律法规开具真实、合法、有效的发票。若供应商提供虚假、无效或不符合税务规定的发票，应在采购人通知之日起5个工作日内重新开具合规发票；逾期未重开或无法重开的，采购人有权暂停支付剩余款项。</w:t>
            </w:r>
          </w:p>
          <w:p w14:paraId="0346B8E7">
            <w:pPr>
              <w:spacing w:after="30" w:line="264" w:lineRule="auto"/>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3.权属、知识产权及履约保障责任</w:t>
            </w:r>
          </w:p>
          <w:p w14:paraId="4B3036E1">
            <w:pPr>
              <w:spacing w:after="30" w:line="264" w:lineRule="auto"/>
              <w:ind w:firstLine="240" w:firstLineChars="100"/>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供应商须保证其对所交付货物享有完整的合法所有权，且不侵犯任何第三方的知识产权、商业秘密或其他合法权益。</w:t>
            </w:r>
          </w:p>
          <w:p w14:paraId="13B64217">
            <w:pPr>
              <w:spacing w:after="30" w:line="264" w:lineRule="auto"/>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4.逾期交货违约责任</w:t>
            </w:r>
          </w:p>
          <w:p w14:paraId="5212297F">
            <w:pPr>
              <w:spacing w:after="30" w:line="264" w:lineRule="auto"/>
              <w:ind w:firstLine="480" w:firstLineChars="200"/>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除不可抗力外，供应商未按合同约定时间交付货物的，每逾期一日，应按合同总金额的0.05%向采购人支付逾期违约金，逾期违约金总额不超过合同总金额的10%。</w:t>
            </w:r>
          </w:p>
          <w:p w14:paraId="1DCECF5F">
            <w:pPr>
              <w:spacing w:after="30" w:line="264" w:lineRule="auto"/>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5.质量保证期内的责任</w:t>
            </w:r>
          </w:p>
          <w:p w14:paraId="21F62803">
            <w:pPr>
              <w:spacing w:after="30" w:line="264" w:lineRule="auto"/>
              <w:ind w:firstLine="480" w:firstLineChars="200"/>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质保期内，货物出现质量问题或故障的，供应商应在收到采购人通知后48小时内响应并提供解决方案；若系重大质量缺陷（影响核心功能或系统安全），须在72小时内完成修复或更换。</w:t>
            </w:r>
          </w:p>
          <w:p w14:paraId="7B69ACEA">
            <w:pPr>
              <w:spacing w:after="30" w:line="264" w:lineRule="auto"/>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6. 违约金适用规则及责任总和上限</w:t>
            </w:r>
          </w:p>
          <w:p w14:paraId="201B8532">
            <w:pPr>
              <w:spacing w:after="30" w:line="264" w:lineRule="auto"/>
              <w:ind w:firstLine="480" w:firstLineChars="200"/>
              <w:jc w:val="left"/>
              <w:rPr>
                <w:rFonts w:hint="eastAsia" w:ascii="仿宋" w:hAnsi="仿宋" w:eastAsia="仿宋" w:cs="宋体"/>
                <w:color w:val="000000"/>
                <w:kern w:val="0"/>
                <w:sz w:val="24"/>
                <w:szCs w:val="32"/>
              </w:rPr>
            </w:pPr>
            <w:r>
              <w:rPr>
                <w:rFonts w:hint="eastAsia" w:ascii="仿宋" w:hAnsi="仿宋" w:eastAsia="仿宋" w:cs="宋体"/>
                <w:color w:val="000000"/>
                <w:kern w:val="0"/>
                <w:sz w:val="24"/>
                <w:szCs w:val="32"/>
              </w:rPr>
              <w:t>本条约定的各项违约金可分别适用，合并计算。但若基于同一违约事实触发多项违约金条款的，以金额较高者为准，不重复计算。本条约定的各项赔偿性违约金总额（不含定金罚则、返还货款及第三方索赔）原则上不超过合同总金额的30%，但因供应商故意或重大过失导致的损失，不受此限。</w:t>
            </w:r>
          </w:p>
        </w:tc>
      </w:tr>
    </w:tbl>
    <w:p w14:paraId="202E282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字酷堂长林体W">
    <w:altName w:val="华文仿宋"/>
    <w:panose1 w:val="00000000000000000000"/>
    <w:charset w:val="86"/>
    <w:family w:val="auto"/>
    <w:pitch w:val="default"/>
    <w:sig w:usb0="00000000" w:usb1="00000000"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2003A0"/>
    <w:rsid w:val="5A200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6">
    <w:name w:val="List Paragraph"/>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6551</Words>
  <Characters>7065</Characters>
  <Lines>0</Lines>
  <Paragraphs>0</Paragraphs>
  <TotalTime>0</TotalTime>
  <ScaleCrop>false</ScaleCrop>
  <LinksUpToDate>false</LinksUpToDate>
  <CharactersWithSpaces>7090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2026-08-25T03:05:00Z</dcterms:created>
  <dc:creator>XM</dc:creator>
  <cp:lastModifiedBy>XM</cp:lastModifiedBy>
  <dcterms:modified xsi:type="dcterms:W3CDTF">2026-08-25T03:06:03Z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4EC3443C09C94B5287D40AD475996DBD_11</vt:lpwstr>
  </property>
  <property fmtid="{D5CDD505-2E9C-101B-9397-08002B2CF9AE}" pid="4" name="KSOTemplateDocerSaveRecord">
    <vt:lpwstr>eyJoZGlkIjoiZTcwMzgxNWZjMjZkNWM0ZDI0ZDMzNWIyNmJjNjM3Y2YiLCJ1c2VySWQiOiI0ODkyMzA2NTYifQ==</vt:lpwstr>
  </property>
</Properties>
</file>